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90B2" w14:textId="52F133B9" w:rsidR="001E2F9E" w:rsidRPr="0096084A" w:rsidRDefault="00AB1B9B" w:rsidP="005D7519">
      <w:pPr>
        <w:pStyle w:val="Title"/>
      </w:pPr>
      <w:r>
        <w:t>P</w:t>
      </w:r>
      <w:r w:rsidR="001E2F9E" w:rsidRPr="0096084A">
        <w:t>lan for universell utforming og tilrettelegging ved HiMolde</w:t>
      </w:r>
    </w:p>
    <w:p w14:paraId="00A8A97A" w14:textId="4C02D1D8" w:rsidR="001E2F9E" w:rsidRPr="0096084A" w:rsidRDefault="001E2F9E" w:rsidP="005D7519">
      <w:pPr>
        <w:pStyle w:val="Title"/>
      </w:pPr>
      <w:r w:rsidRPr="0096084A">
        <w:t>20</w:t>
      </w:r>
      <w:r w:rsidR="00A6081C">
        <w:t>23</w:t>
      </w:r>
      <w:r w:rsidRPr="0096084A">
        <w:t xml:space="preserve"> –</w:t>
      </w:r>
      <w:r w:rsidR="00D72C1C">
        <w:t xml:space="preserve"> 202</w:t>
      </w:r>
      <w:r w:rsidR="00A6081C">
        <w:t>7</w:t>
      </w:r>
    </w:p>
    <w:p w14:paraId="617A5242" w14:textId="77777777" w:rsidR="0096084A" w:rsidRDefault="0096084A" w:rsidP="001146C9">
      <w:pPr>
        <w:rPr>
          <w:b/>
          <w:sz w:val="24"/>
          <w:szCs w:val="24"/>
        </w:rPr>
      </w:pPr>
    </w:p>
    <w:p w14:paraId="2CB29CE0" w14:textId="77777777" w:rsidR="001E2F9E" w:rsidRDefault="007C016F" w:rsidP="0011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E2F9E">
        <w:rPr>
          <w:b/>
          <w:noProof/>
          <w:sz w:val="24"/>
          <w:szCs w:val="24"/>
          <w:lang w:eastAsia="nb-NO"/>
        </w:rPr>
        <w:drawing>
          <wp:inline distT="0" distB="0" distL="0" distR="0" wp14:anchorId="2A12F3B4" wp14:editId="2069AF03">
            <wp:extent cx="5400884" cy="5414104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612" cy="54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F5B8" w14:textId="77777777" w:rsidR="001E2F9E" w:rsidRDefault="001E2F9E" w:rsidP="001146C9">
      <w:pPr>
        <w:rPr>
          <w:b/>
          <w:sz w:val="24"/>
          <w:szCs w:val="24"/>
        </w:rPr>
      </w:pPr>
    </w:p>
    <w:p w14:paraId="33378476" w14:textId="77777777" w:rsidR="001E2F9E" w:rsidRDefault="001E2F9E" w:rsidP="001146C9">
      <w:pPr>
        <w:rPr>
          <w:b/>
          <w:sz w:val="24"/>
          <w:szCs w:val="24"/>
        </w:rPr>
      </w:pPr>
    </w:p>
    <w:p w14:paraId="73E17CEE" w14:textId="77777777" w:rsidR="002A5D00" w:rsidRDefault="002A5D00" w:rsidP="001146C9">
      <w:pPr>
        <w:rPr>
          <w:b/>
          <w:sz w:val="24"/>
          <w:szCs w:val="24"/>
        </w:rPr>
      </w:pPr>
    </w:p>
    <w:p w14:paraId="2C829D0A" w14:textId="2FF30AD1" w:rsidR="0096084A" w:rsidRDefault="0096084A" w:rsidP="005D7519">
      <w:r>
        <w:t>Læringsmiljøutvalget  20</w:t>
      </w:r>
      <w:r w:rsidR="00A6081C">
        <w:t>23</w:t>
      </w:r>
    </w:p>
    <w:p w14:paraId="19F2CF1E" w14:textId="77777777" w:rsidR="005D7519" w:rsidRDefault="005D7519" w:rsidP="005D7519"/>
    <w:p w14:paraId="29CF55BC" w14:textId="77777777" w:rsidR="00660B80" w:rsidRPr="008D21F0" w:rsidRDefault="00660B80" w:rsidP="001146C9">
      <w:pPr>
        <w:rPr>
          <w:b/>
          <w:sz w:val="24"/>
          <w:szCs w:val="24"/>
        </w:rPr>
      </w:pPr>
      <w:r w:rsidRPr="008D21F0">
        <w:rPr>
          <w:b/>
          <w:sz w:val="24"/>
          <w:szCs w:val="24"/>
        </w:rPr>
        <w:lastRenderedPageBreak/>
        <w:t>1.Begrepsavklaring og lovmessig forankring</w:t>
      </w:r>
    </w:p>
    <w:p w14:paraId="1218E39E" w14:textId="75452FE8" w:rsidR="00663861" w:rsidRPr="008D21F0" w:rsidRDefault="005D7519" w:rsidP="0011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Høgskolen i Molde skal ha et inkluderende og godt læringsmiljø som fremmer trivsel. </w:t>
      </w:r>
      <w:r w:rsidR="0096084A">
        <w:rPr>
          <w:b/>
          <w:sz w:val="24"/>
          <w:szCs w:val="24"/>
        </w:rPr>
        <w:t>Handlingsplan for u</w:t>
      </w:r>
      <w:r w:rsidR="00663861" w:rsidRPr="008D21F0">
        <w:rPr>
          <w:b/>
          <w:sz w:val="24"/>
          <w:szCs w:val="24"/>
        </w:rPr>
        <w:t>niversell utforming</w:t>
      </w:r>
      <w:r w:rsidR="0096084A">
        <w:rPr>
          <w:b/>
          <w:sz w:val="24"/>
          <w:szCs w:val="24"/>
        </w:rPr>
        <w:t xml:space="preserve"> og tilrettelegging</w:t>
      </w:r>
      <w:r w:rsidR="00663861" w:rsidRPr="008D21F0">
        <w:rPr>
          <w:b/>
          <w:sz w:val="24"/>
          <w:szCs w:val="24"/>
        </w:rPr>
        <w:t xml:space="preserve"> </w:t>
      </w:r>
      <w:r w:rsidR="0098112D" w:rsidRPr="008D21F0">
        <w:rPr>
          <w:b/>
          <w:sz w:val="24"/>
          <w:szCs w:val="24"/>
        </w:rPr>
        <w:t>20</w:t>
      </w:r>
      <w:r w:rsidR="00A6081C">
        <w:rPr>
          <w:b/>
          <w:sz w:val="24"/>
          <w:szCs w:val="24"/>
        </w:rPr>
        <w:t>23</w:t>
      </w:r>
      <w:r w:rsidR="0098112D" w:rsidRPr="008D21F0">
        <w:rPr>
          <w:b/>
          <w:sz w:val="24"/>
          <w:szCs w:val="24"/>
        </w:rPr>
        <w:t xml:space="preserve"> – 202</w:t>
      </w:r>
      <w:r w:rsidR="00A6081C">
        <w:rPr>
          <w:b/>
          <w:sz w:val="24"/>
          <w:szCs w:val="24"/>
        </w:rPr>
        <w:t>7</w:t>
      </w:r>
      <w:r w:rsidR="00663861" w:rsidRPr="008D21F0">
        <w:rPr>
          <w:b/>
          <w:sz w:val="24"/>
          <w:szCs w:val="24"/>
        </w:rPr>
        <w:t xml:space="preserve"> er et ledd i arbeidet</w:t>
      </w:r>
      <w:r>
        <w:rPr>
          <w:b/>
          <w:sz w:val="24"/>
          <w:szCs w:val="24"/>
        </w:rPr>
        <w:t xml:space="preserve"> for et godt læringsmiljø</w:t>
      </w:r>
      <w:r w:rsidR="00663861" w:rsidRPr="008D21F0">
        <w:rPr>
          <w:b/>
          <w:sz w:val="24"/>
          <w:szCs w:val="24"/>
        </w:rPr>
        <w:t xml:space="preserve">. </w:t>
      </w:r>
      <w:r w:rsidR="00824E65" w:rsidRPr="008D21F0">
        <w:rPr>
          <w:b/>
          <w:sz w:val="24"/>
          <w:szCs w:val="24"/>
        </w:rPr>
        <w:t>Handlingsplane</w:t>
      </w:r>
      <w:r w:rsidR="00F07281" w:rsidRPr="008D21F0">
        <w:rPr>
          <w:b/>
          <w:sz w:val="24"/>
          <w:szCs w:val="24"/>
        </w:rPr>
        <w:t>n lages</w:t>
      </w:r>
      <w:r w:rsidR="00824E65" w:rsidRPr="008D21F0">
        <w:rPr>
          <w:b/>
          <w:sz w:val="24"/>
          <w:szCs w:val="24"/>
        </w:rPr>
        <w:t xml:space="preserve"> og ettersees av Læringsmiljøutvalget</w:t>
      </w:r>
      <w:r w:rsidR="00550784">
        <w:rPr>
          <w:b/>
          <w:sz w:val="24"/>
          <w:szCs w:val="24"/>
        </w:rPr>
        <w:t xml:space="preserve">. </w:t>
      </w:r>
    </w:p>
    <w:p w14:paraId="5FE0E177" w14:textId="77777777" w:rsidR="00663861" w:rsidRPr="008D21F0" w:rsidRDefault="00663861" w:rsidP="001146C9">
      <w:pPr>
        <w:rPr>
          <w:b/>
          <w:sz w:val="24"/>
          <w:szCs w:val="24"/>
        </w:rPr>
      </w:pPr>
    </w:p>
    <w:p w14:paraId="51366D7E" w14:textId="77777777" w:rsidR="001146C9" w:rsidRPr="008D21F0" w:rsidRDefault="00660B80" w:rsidP="001146C9">
      <w:pPr>
        <w:rPr>
          <w:b/>
          <w:sz w:val="24"/>
          <w:szCs w:val="24"/>
        </w:rPr>
      </w:pPr>
      <w:r w:rsidRPr="008D21F0">
        <w:rPr>
          <w:b/>
          <w:sz w:val="24"/>
          <w:szCs w:val="24"/>
        </w:rPr>
        <w:t xml:space="preserve">1.1 </w:t>
      </w:r>
      <w:r w:rsidR="00791463" w:rsidRPr="008D21F0">
        <w:rPr>
          <w:b/>
          <w:sz w:val="24"/>
          <w:szCs w:val="24"/>
        </w:rPr>
        <w:t>Universell utforming og Læringsmiljøet</w:t>
      </w:r>
    </w:p>
    <w:p w14:paraId="30135DC1" w14:textId="51379EE4" w:rsidR="00C42162" w:rsidRPr="008D21F0" w:rsidRDefault="00F07281" w:rsidP="00C42162">
      <w:pPr>
        <w:autoSpaceDE w:val="0"/>
        <w:autoSpaceDN w:val="0"/>
        <w:adjustRightInd w:val="0"/>
        <w:spacing w:after="186" w:line="240" w:lineRule="auto"/>
        <w:rPr>
          <w:sz w:val="24"/>
          <w:szCs w:val="24"/>
        </w:rPr>
      </w:pPr>
      <w:r w:rsidRPr="008D21F0">
        <w:rPr>
          <w:sz w:val="24"/>
          <w:szCs w:val="24"/>
        </w:rPr>
        <w:t>I</w:t>
      </w:r>
      <w:r w:rsidR="006F2176" w:rsidRPr="008D21F0">
        <w:rPr>
          <w:sz w:val="24"/>
          <w:szCs w:val="24"/>
        </w:rPr>
        <w:t xml:space="preserve"> følge </w:t>
      </w:r>
      <w:r w:rsidR="00791463" w:rsidRPr="008D21F0">
        <w:rPr>
          <w:sz w:val="24"/>
          <w:szCs w:val="24"/>
        </w:rPr>
        <w:t>Universitets</w:t>
      </w:r>
      <w:r w:rsidR="005D7519">
        <w:rPr>
          <w:sz w:val="24"/>
          <w:szCs w:val="24"/>
        </w:rPr>
        <w:t>-</w:t>
      </w:r>
      <w:r w:rsidR="00791463" w:rsidRPr="008D21F0">
        <w:rPr>
          <w:sz w:val="24"/>
          <w:szCs w:val="24"/>
        </w:rPr>
        <w:t xml:space="preserve"> og høyskolelovens §4-3 </w:t>
      </w:r>
      <w:r w:rsidR="006F2176" w:rsidRPr="008D21F0">
        <w:rPr>
          <w:sz w:val="24"/>
          <w:szCs w:val="24"/>
        </w:rPr>
        <w:t>skal</w:t>
      </w:r>
      <w:r w:rsidR="00791463" w:rsidRPr="008D21F0">
        <w:rPr>
          <w:sz w:val="24"/>
          <w:szCs w:val="24"/>
        </w:rPr>
        <w:t xml:space="preserve"> </w:t>
      </w:r>
      <w:r w:rsidR="00537678">
        <w:rPr>
          <w:sz w:val="24"/>
          <w:szCs w:val="24"/>
        </w:rPr>
        <w:t>alminnelige funksjoner ved</w:t>
      </w:r>
      <w:r w:rsidR="00537678" w:rsidRPr="008D21F0">
        <w:rPr>
          <w:sz w:val="24"/>
          <w:szCs w:val="24"/>
        </w:rPr>
        <w:t xml:space="preserve"> </w:t>
      </w:r>
      <w:r w:rsidR="00537678">
        <w:rPr>
          <w:sz w:val="24"/>
          <w:szCs w:val="24"/>
        </w:rPr>
        <w:t>høgskoler og universitet</w:t>
      </w:r>
      <w:r w:rsidR="00537678" w:rsidRPr="008D21F0">
        <w:rPr>
          <w:sz w:val="24"/>
          <w:szCs w:val="24"/>
        </w:rPr>
        <w:t xml:space="preserve">er </w:t>
      </w:r>
      <w:r w:rsidR="00537678">
        <w:rPr>
          <w:sz w:val="24"/>
          <w:szCs w:val="24"/>
        </w:rPr>
        <w:t xml:space="preserve">være </w:t>
      </w:r>
      <w:r w:rsidR="00537678" w:rsidRPr="008D21F0">
        <w:rPr>
          <w:sz w:val="24"/>
          <w:szCs w:val="24"/>
        </w:rPr>
        <w:t>universe</w:t>
      </w:r>
      <w:r w:rsidR="00537678">
        <w:rPr>
          <w:sz w:val="24"/>
          <w:szCs w:val="24"/>
        </w:rPr>
        <w:t>lt</w:t>
      </w:r>
      <w:r w:rsidR="00537678" w:rsidRPr="008D21F0">
        <w:rPr>
          <w:sz w:val="24"/>
          <w:szCs w:val="24"/>
        </w:rPr>
        <w:t xml:space="preserve"> utform</w:t>
      </w:r>
      <w:r w:rsidR="00537678">
        <w:rPr>
          <w:sz w:val="24"/>
          <w:szCs w:val="24"/>
        </w:rPr>
        <w:t>et</w:t>
      </w:r>
      <w:r w:rsidR="00791463" w:rsidRPr="008D21F0">
        <w:rPr>
          <w:sz w:val="24"/>
          <w:szCs w:val="24"/>
        </w:rPr>
        <w:t xml:space="preserve">. </w:t>
      </w:r>
    </w:p>
    <w:p w14:paraId="72008CED" w14:textId="77777777" w:rsidR="00791463" w:rsidRDefault="00791463" w:rsidP="00C42162">
      <w:pPr>
        <w:autoSpaceDE w:val="0"/>
        <w:autoSpaceDN w:val="0"/>
        <w:adjustRightInd w:val="0"/>
        <w:spacing w:after="186" w:line="240" w:lineRule="auto"/>
        <w:rPr>
          <w:sz w:val="24"/>
          <w:szCs w:val="24"/>
        </w:rPr>
      </w:pPr>
      <w:r w:rsidRPr="008D21F0">
        <w:rPr>
          <w:sz w:val="24"/>
          <w:szCs w:val="24"/>
        </w:rPr>
        <w:t>Likestillings- og diskrimineringsloven</w:t>
      </w:r>
      <w:r w:rsidR="00C42162" w:rsidRPr="008D21F0">
        <w:rPr>
          <w:sz w:val="24"/>
          <w:szCs w:val="24"/>
        </w:rPr>
        <w:t>s</w:t>
      </w:r>
      <w:r w:rsidR="00660B80" w:rsidRPr="008D21F0">
        <w:rPr>
          <w:sz w:val="24"/>
          <w:szCs w:val="24"/>
        </w:rPr>
        <w:t xml:space="preserve"> § 19 slår fast at offentlige virksomheter har </w:t>
      </w:r>
      <w:r w:rsidR="00C42162" w:rsidRPr="008D21F0">
        <w:rPr>
          <w:sz w:val="24"/>
          <w:szCs w:val="24"/>
        </w:rPr>
        <w:t xml:space="preserve">en plikt til å jobbe aktivt og målrettet for </w:t>
      </w:r>
      <w:r w:rsidR="00660B80" w:rsidRPr="008D21F0">
        <w:rPr>
          <w:sz w:val="24"/>
          <w:szCs w:val="24"/>
        </w:rPr>
        <w:t xml:space="preserve">å fremme </w:t>
      </w:r>
      <w:r w:rsidR="00C42162" w:rsidRPr="008D21F0">
        <w:rPr>
          <w:sz w:val="24"/>
          <w:szCs w:val="24"/>
        </w:rPr>
        <w:t>universell utforming</w:t>
      </w:r>
      <w:r w:rsidR="00660B80" w:rsidRPr="008D21F0">
        <w:rPr>
          <w:sz w:val="24"/>
          <w:szCs w:val="24"/>
        </w:rPr>
        <w:t xml:space="preserve"> innen virksomheten.</w:t>
      </w:r>
      <w:r w:rsidR="00C42162" w:rsidRPr="008D21F0">
        <w:rPr>
          <w:sz w:val="24"/>
          <w:szCs w:val="24"/>
        </w:rPr>
        <w:t xml:space="preserve"> </w:t>
      </w:r>
    </w:p>
    <w:p w14:paraId="1A2B5BCF" w14:textId="076FBD43" w:rsidR="00D72C1C" w:rsidRPr="008D21F0" w:rsidRDefault="00D72C1C" w:rsidP="00D72C1C">
      <w:pPr>
        <w:autoSpaceDE w:val="0"/>
        <w:autoSpaceDN w:val="0"/>
        <w:adjustRightInd w:val="0"/>
        <w:spacing w:after="186" w:line="240" w:lineRule="auto"/>
        <w:rPr>
          <w:sz w:val="24"/>
          <w:szCs w:val="24"/>
        </w:rPr>
      </w:pPr>
      <w:r w:rsidRPr="008D21F0">
        <w:rPr>
          <w:sz w:val="24"/>
          <w:szCs w:val="24"/>
        </w:rPr>
        <w:t>Norge undertegnet i 2007 FN-konvensjonen om rettighetene til mennesker med nedsatt funksjonsevne</w:t>
      </w:r>
      <w:r w:rsidR="005D7519">
        <w:rPr>
          <w:sz w:val="24"/>
          <w:szCs w:val="24"/>
        </w:rPr>
        <w:t xml:space="preserve"> (CRPD)</w:t>
      </w:r>
      <w:r w:rsidRPr="008D21F0">
        <w:rPr>
          <w:sz w:val="24"/>
          <w:szCs w:val="24"/>
        </w:rPr>
        <w:t xml:space="preserve">. Konvensjonen </w:t>
      </w:r>
      <w:r>
        <w:rPr>
          <w:sz w:val="24"/>
          <w:szCs w:val="24"/>
        </w:rPr>
        <w:t>definerer «</w:t>
      </w:r>
      <w:r w:rsidRPr="008D21F0">
        <w:rPr>
          <w:sz w:val="24"/>
          <w:szCs w:val="24"/>
        </w:rPr>
        <w:t>universell</w:t>
      </w:r>
      <w:r>
        <w:rPr>
          <w:sz w:val="24"/>
          <w:szCs w:val="24"/>
        </w:rPr>
        <w:t xml:space="preserve"> utforming»</w:t>
      </w:r>
      <w:r w:rsidRPr="008D21F0">
        <w:rPr>
          <w:sz w:val="24"/>
          <w:szCs w:val="24"/>
        </w:rPr>
        <w:t xml:space="preserve"> som utforming av produkter, omgivelser, programmer og tjenester på en slik måte at de kan brukes av alle mennesker, i så stor utstrekning som mulig, uten behov for tilp</w:t>
      </w:r>
      <w:r>
        <w:rPr>
          <w:sz w:val="24"/>
          <w:szCs w:val="24"/>
        </w:rPr>
        <w:t>assing og en spesiell utforming».</w:t>
      </w:r>
    </w:p>
    <w:p w14:paraId="0C6DC37C" w14:textId="41543C3D" w:rsidR="0096084A" w:rsidRDefault="00550784" w:rsidP="001146C9">
      <w:pPr>
        <w:autoSpaceDE w:val="0"/>
        <w:autoSpaceDN w:val="0"/>
        <w:adjustRightInd w:val="0"/>
        <w:spacing w:after="186" w:line="240" w:lineRule="auto"/>
        <w:rPr>
          <w:sz w:val="24"/>
          <w:szCs w:val="24"/>
        </w:rPr>
      </w:pPr>
      <w:r w:rsidRPr="008D21F0">
        <w:rPr>
          <w:sz w:val="24"/>
          <w:szCs w:val="24"/>
        </w:rPr>
        <w:t>Universitets</w:t>
      </w:r>
      <w:r>
        <w:rPr>
          <w:sz w:val="24"/>
          <w:szCs w:val="24"/>
        </w:rPr>
        <w:t>-</w:t>
      </w:r>
      <w:r w:rsidRPr="008D21F0">
        <w:rPr>
          <w:sz w:val="24"/>
          <w:szCs w:val="24"/>
        </w:rPr>
        <w:t xml:space="preserve"> og høyskoleloven</w:t>
      </w:r>
      <w:r>
        <w:rPr>
          <w:sz w:val="24"/>
          <w:szCs w:val="24"/>
        </w:rPr>
        <w:t xml:space="preserve"> </w:t>
      </w:r>
      <w:r w:rsidR="00A6081C">
        <w:rPr>
          <w:sz w:val="24"/>
          <w:szCs w:val="24"/>
        </w:rPr>
        <w:t xml:space="preserve">deler </w:t>
      </w:r>
      <w:r>
        <w:rPr>
          <w:sz w:val="24"/>
          <w:szCs w:val="24"/>
        </w:rPr>
        <w:t xml:space="preserve">det totale </w:t>
      </w:r>
      <w:r w:rsidR="00791463" w:rsidRPr="008D21F0">
        <w:rPr>
          <w:sz w:val="24"/>
          <w:szCs w:val="24"/>
        </w:rPr>
        <w:t>læringsmiljø</w:t>
      </w:r>
      <w:r>
        <w:rPr>
          <w:sz w:val="24"/>
          <w:szCs w:val="24"/>
        </w:rPr>
        <w:t>et</w:t>
      </w:r>
      <w:r w:rsidR="00791463" w:rsidRPr="008D21F0">
        <w:rPr>
          <w:sz w:val="24"/>
          <w:szCs w:val="24"/>
        </w:rPr>
        <w:t xml:space="preserve"> inn i fem områder:</w:t>
      </w:r>
    </w:p>
    <w:p w14:paraId="69F110C2" w14:textId="77777777" w:rsidR="00D72C1C" w:rsidRPr="008D21F0" w:rsidRDefault="00D72C1C" w:rsidP="001146C9">
      <w:pPr>
        <w:autoSpaceDE w:val="0"/>
        <w:autoSpaceDN w:val="0"/>
        <w:adjustRightInd w:val="0"/>
        <w:spacing w:after="186" w:line="240" w:lineRule="auto"/>
        <w:rPr>
          <w:sz w:val="24"/>
          <w:szCs w:val="24"/>
        </w:rPr>
      </w:pPr>
    </w:p>
    <w:p w14:paraId="601CE2D4" w14:textId="77777777" w:rsidR="004E7157" w:rsidRDefault="0096084A" w:rsidP="001146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nb-NO"/>
        </w:rPr>
        <w:drawing>
          <wp:inline distT="0" distB="0" distL="0" distR="0" wp14:anchorId="321C1E27" wp14:editId="6E6D79A7">
            <wp:extent cx="5506571" cy="2252382"/>
            <wp:effectExtent l="38100" t="38100" r="56515" b="52705"/>
            <wp:docPr id="3" name="Diagram 3" descr="Diagram med fem rader. Det er en rad for hver av de fem forskjellige former for læringsmiljø; fysisk læringsmiljø, psykososialt læringsmiljø, organisatorisk læringsmiljø, digital læringsmiljø og pedagogisk læringsmiljø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F36BEA0" w14:textId="77777777" w:rsidR="001D2021" w:rsidRPr="008D21F0" w:rsidRDefault="001D2021" w:rsidP="001146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D2F6DE3" w14:textId="77777777" w:rsidR="007E24A1" w:rsidRDefault="007E24A1" w:rsidP="004E7157">
      <w:pPr>
        <w:autoSpaceDE w:val="0"/>
        <w:autoSpaceDN w:val="0"/>
        <w:adjustRightInd w:val="0"/>
        <w:spacing w:after="186" w:line="240" w:lineRule="auto"/>
        <w:rPr>
          <w:sz w:val="24"/>
          <w:szCs w:val="24"/>
        </w:rPr>
      </w:pPr>
    </w:p>
    <w:p w14:paraId="023BD147" w14:textId="6A9B26E1" w:rsidR="004E7157" w:rsidRPr="008D21F0" w:rsidRDefault="004E7157" w:rsidP="004E7157">
      <w:pPr>
        <w:autoSpaceDE w:val="0"/>
        <w:autoSpaceDN w:val="0"/>
        <w:adjustRightInd w:val="0"/>
        <w:spacing w:after="186" w:line="240" w:lineRule="auto"/>
        <w:rPr>
          <w:sz w:val="24"/>
          <w:szCs w:val="24"/>
        </w:rPr>
      </w:pPr>
      <w:r w:rsidRPr="008D21F0">
        <w:rPr>
          <w:sz w:val="24"/>
          <w:szCs w:val="24"/>
        </w:rPr>
        <w:t>Universell utforming av læringsmiljøet innebærer å utforme dette miljøet på en slik måte at alle studenter som er kvalifisert for opptak kan få utbytte av utdanningen uavhengig av funksjonsnivå og med minst mulig bruk av særløsninger.</w:t>
      </w:r>
    </w:p>
    <w:p w14:paraId="4BD83967" w14:textId="77777777" w:rsidR="001146C9" w:rsidRPr="008D21F0" w:rsidRDefault="001146C9" w:rsidP="001146C9">
      <w:pPr>
        <w:rPr>
          <w:b/>
          <w:sz w:val="24"/>
          <w:szCs w:val="24"/>
        </w:rPr>
      </w:pPr>
    </w:p>
    <w:p w14:paraId="411F0F7E" w14:textId="77777777" w:rsidR="00AB1F0A" w:rsidRDefault="00AB1F0A" w:rsidP="001146C9">
      <w:pPr>
        <w:rPr>
          <w:b/>
          <w:sz w:val="24"/>
          <w:szCs w:val="24"/>
        </w:rPr>
      </w:pPr>
    </w:p>
    <w:p w14:paraId="5FA234E8" w14:textId="77777777" w:rsidR="004322E9" w:rsidRDefault="004322E9" w:rsidP="001146C9">
      <w:pPr>
        <w:rPr>
          <w:b/>
          <w:sz w:val="24"/>
          <w:szCs w:val="24"/>
        </w:rPr>
      </w:pPr>
    </w:p>
    <w:p w14:paraId="3C15F9F5" w14:textId="5DD77142" w:rsidR="00B70D40" w:rsidRDefault="00B70D40" w:rsidP="001146C9">
      <w:pPr>
        <w:rPr>
          <w:b/>
          <w:sz w:val="24"/>
          <w:szCs w:val="24"/>
        </w:rPr>
      </w:pPr>
    </w:p>
    <w:p w14:paraId="6CD483D7" w14:textId="45E6A35D" w:rsidR="001146C9" w:rsidRPr="008D21F0" w:rsidRDefault="008D21F0" w:rsidP="001146C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 </w:t>
      </w:r>
      <w:r w:rsidR="00791463" w:rsidRPr="008D21F0">
        <w:rPr>
          <w:b/>
          <w:sz w:val="24"/>
          <w:szCs w:val="24"/>
        </w:rPr>
        <w:t>Tilrettelegging</w:t>
      </w:r>
      <w:r w:rsidR="0098112D" w:rsidRPr="008D21F0">
        <w:rPr>
          <w:b/>
          <w:sz w:val="24"/>
          <w:szCs w:val="24"/>
        </w:rPr>
        <w:t xml:space="preserve"> av læringsmiljøet</w:t>
      </w:r>
    </w:p>
    <w:p w14:paraId="2FD2CDF6" w14:textId="634739C6" w:rsidR="0098112D" w:rsidRPr="008D21F0" w:rsidRDefault="0098112D" w:rsidP="00663861">
      <w:pPr>
        <w:rPr>
          <w:sz w:val="24"/>
          <w:szCs w:val="24"/>
        </w:rPr>
      </w:pPr>
      <w:r w:rsidRPr="008D21F0">
        <w:rPr>
          <w:sz w:val="24"/>
          <w:szCs w:val="24"/>
        </w:rPr>
        <w:t>Men</w:t>
      </w:r>
      <w:r w:rsidR="00F07281" w:rsidRPr="008D21F0">
        <w:rPr>
          <w:sz w:val="24"/>
          <w:szCs w:val="24"/>
        </w:rPr>
        <w:t>s</w:t>
      </w:r>
      <w:r w:rsidRPr="008D21F0">
        <w:rPr>
          <w:sz w:val="24"/>
          <w:szCs w:val="24"/>
        </w:rPr>
        <w:t xml:space="preserve"> universell utforming gjelder for alle, gjel</w:t>
      </w:r>
      <w:r w:rsidR="00F07281" w:rsidRPr="008D21F0">
        <w:rPr>
          <w:sz w:val="24"/>
          <w:szCs w:val="24"/>
        </w:rPr>
        <w:t xml:space="preserve">der tilrettelegging for </w:t>
      </w:r>
      <w:r w:rsidR="00537678">
        <w:rPr>
          <w:sz w:val="24"/>
          <w:szCs w:val="24"/>
        </w:rPr>
        <w:t>de</w:t>
      </w:r>
      <w:r w:rsidR="00F07281" w:rsidRPr="008D21F0">
        <w:rPr>
          <w:sz w:val="24"/>
          <w:szCs w:val="24"/>
        </w:rPr>
        <w:t xml:space="preserve"> </w:t>
      </w:r>
      <w:r w:rsidR="006470CC" w:rsidRPr="008D21F0">
        <w:rPr>
          <w:sz w:val="24"/>
          <w:szCs w:val="24"/>
        </w:rPr>
        <w:t xml:space="preserve">med </w:t>
      </w:r>
      <w:r w:rsidR="00AB1F0A">
        <w:rPr>
          <w:sz w:val="24"/>
          <w:szCs w:val="24"/>
        </w:rPr>
        <w:t xml:space="preserve">ekstra </w:t>
      </w:r>
      <w:r w:rsidR="006470CC" w:rsidRPr="008D21F0">
        <w:rPr>
          <w:sz w:val="24"/>
          <w:szCs w:val="24"/>
        </w:rPr>
        <w:t>behov.</w:t>
      </w:r>
    </w:p>
    <w:p w14:paraId="45341DC6" w14:textId="523AC2D7" w:rsidR="00663861" w:rsidRPr="008D21F0" w:rsidRDefault="00663861" w:rsidP="00663861">
      <w:pPr>
        <w:rPr>
          <w:sz w:val="24"/>
          <w:szCs w:val="24"/>
        </w:rPr>
      </w:pPr>
      <w:r w:rsidRPr="008D21F0">
        <w:rPr>
          <w:sz w:val="24"/>
          <w:szCs w:val="24"/>
        </w:rPr>
        <w:t>U</w:t>
      </w:r>
      <w:r w:rsidR="00824E65" w:rsidRPr="008D21F0">
        <w:rPr>
          <w:sz w:val="24"/>
          <w:szCs w:val="24"/>
        </w:rPr>
        <w:t>niversitets- og H</w:t>
      </w:r>
      <w:r w:rsidR="00C42162" w:rsidRPr="008D21F0">
        <w:rPr>
          <w:sz w:val="24"/>
          <w:szCs w:val="24"/>
        </w:rPr>
        <w:t>øyskole</w:t>
      </w:r>
      <w:r w:rsidR="0098112D" w:rsidRPr="008D21F0">
        <w:rPr>
          <w:sz w:val="24"/>
          <w:szCs w:val="24"/>
        </w:rPr>
        <w:t>loven</w:t>
      </w:r>
      <w:r w:rsidR="006470CC" w:rsidRPr="008D21F0">
        <w:rPr>
          <w:sz w:val="24"/>
          <w:szCs w:val="24"/>
        </w:rPr>
        <w:t xml:space="preserve"> §4-3</w:t>
      </w:r>
      <w:r w:rsidR="00B70D40">
        <w:rPr>
          <w:sz w:val="24"/>
          <w:szCs w:val="24"/>
        </w:rPr>
        <w:t xml:space="preserve">, og </w:t>
      </w:r>
      <w:r w:rsidR="00B70D40" w:rsidRPr="008D21F0">
        <w:rPr>
          <w:sz w:val="24"/>
          <w:szCs w:val="24"/>
        </w:rPr>
        <w:t>Likestillings- og diskrimineringsloven §21</w:t>
      </w:r>
      <w:r w:rsidR="00B70D40">
        <w:rPr>
          <w:sz w:val="24"/>
          <w:szCs w:val="24"/>
        </w:rPr>
        <w:t xml:space="preserve">, </w:t>
      </w:r>
      <w:r w:rsidR="00C42162" w:rsidRPr="008D21F0">
        <w:rPr>
          <w:sz w:val="24"/>
          <w:szCs w:val="24"/>
        </w:rPr>
        <w:t xml:space="preserve">sier følgende om </w:t>
      </w:r>
      <w:r w:rsidR="00FD6745" w:rsidRPr="008D21F0">
        <w:rPr>
          <w:sz w:val="24"/>
          <w:szCs w:val="24"/>
        </w:rPr>
        <w:t>tilrettelegging</w:t>
      </w:r>
      <w:r w:rsidRPr="008D21F0">
        <w:rPr>
          <w:sz w:val="24"/>
          <w:szCs w:val="24"/>
        </w:rPr>
        <w:t xml:space="preserve">: </w:t>
      </w:r>
    </w:p>
    <w:p w14:paraId="023582D5" w14:textId="3E804915" w:rsidR="00A73577" w:rsidRPr="00B70D40" w:rsidRDefault="00663861" w:rsidP="006470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1F0">
        <w:rPr>
          <w:sz w:val="24"/>
          <w:szCs w:val="24"/>
        </w:rPr>
        <w:t xml:space="preserve">Elever og studenter med funksjonsnedsettelse ved skole- og utdanningsinstitusjoner har rett til egnet individuell tilrettelegging av lærested, undervisning, læremidler og eksamen, for å sikre likeverdige opplærings- og utdanningsmuligheter. </w:t>
      </w:r>
      <w:r w:rsidR="006470CC" w:rsidRPr="008D21F0">
        <w:rPr>
          <w:rFonts w:cs="Helvetica"/>
          <w:sz w:val="24"/>
          <w:szCs w:val="24"/>
          <w:shd w:val="clear" w:color="auto" w:fill="FFFFFF"/>
        </w:rPr>
        <w:t>Retten gjelder tilrettelegging som ikke innebærer en uforholdsmessig byrde</w:t>
      </w:r>
      <w:r w:rsidR="00537678">
        <w:rPr>
          <w:rFonts w:cs="Helvetica"/>
          <w:sz w:val="24"/>
          <w:szCs w:val="24"/>
          <w:shd w:val="clear" w:color="auto" w:fill="FFFFFF"/>
        </w:rPr>
        <w:t>.</w:t>
      </w:r>
    </w:p>
    <w:p w14:paraId="5C2A60CC" w14:textId="3BA47BC8" w:rsidR="00B70D40" w:rsidRPr="008D21F0" w:rsidRDefault="00B70D40" w:rsidP="006470C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 xml:space="preserve">Uh-loven sier også at </w:t>
      </w:r>
      <w:r>
        <w:rPr>
          <w:sz w:val="24"/>
          <w:szCs w:val="24"/>
        </w:rPr>
        <w:t>t</w:t>
      </w:r>
      <w:r w:rsidRPr="008D21F0">
        <w:rPr>
          <w:sz w:val="24"/>
          <w:szCs w:val="24"/>
        </w:rPr>
        <w:t>ilretteleggingen</w:t>
      </w:r>
      <w:r>
        <w:rPr>
          <w:sz w:val="24"/>
          <w:szCs w:val="24"/>
        </w:rPr>
        <w:t xml:space="preserve"> </w:t>
      </w:r>
      <w:r w:rsidRPr="008D21F0">
        <w:rPr>
          <w:sz w:val="24"/>
          <w:szCs w:val="24"/>
        </w:rPr>
        <w:t>ikke</w:t>
      </w:r>
      <w:r>
        <w:rPr>
          <w:sz w:val="24"/>
          <w:szCs w:val="24"/>
        </w:rPr>
        <w:t xml:space="preserve"> må</w:t>
      </w:r>
      <w:r w:rsidRPr="008D21F0">
        <w:rPr>
          <w:sz w:val="24"/>
          <w:szCs w:val="24"/>
        </w:rPr>
        <w:t xml:space="preserve"> føre til en reduksjon av de faglige krav som stilles ved det enkelte studium</w:t>
      </w:r>
      <w:r>
        <w:rPr>
          <w:sz w:val="24"/>
          <w:szCs w:val="24"/>
        </w:rPr>
        <w:t>.</w:t>
      </w:r>
    </w:p>
    <w:p w14:paraId="59E8E810" w14:textId="77777777" w:rsidR="008D21F0" w:rsidRDefault="008D21F0" w:rsidP="00706AC7">
      <w:pPr>
        <w:rPr>
          <w:sz w:val="24"/>
          <w:szCs w:val="24"/>
        </w:rPr>
      </w:pPr>
    </w:p>
    <w:p w14:paraId="229BA157" w14:textId="77777777" w:rsidR="003A600E" w:rsidRDefault="003A600E" w:rsidP="003A600E">
      <w:pPr>
        <w:rPr>
          <w:b/>
          <w:sz w:val="24"/>
          <w:szCs w:val="24"/>
        </w:rPr>
      </w:pPr>
    </w:p>
    <w:p w14:paraId="47893AD5" w14:textId="77777777" w:rsidR="004322E9" w:rsidRDefault="004322E9" w:rsidP="003A600E">
      <w:pPr>
        <w:rPr>
          <w:b/>
          <w:sz w:val="24"/>
          <w:szCs w:val="24"/>
        </w:rPr>
      </w:pPr>
    </w:p>
    <w:p w14:paraId="76A2C801" w14:textId="77777777" w:rsidR="004322E9" w:rsidRDefault="004322E9" w:rsidP="003A600E">
      <w:pPr>
        <w:rPr>
          <w:b/>
          <w:sz w:val="24"/>
          <w:szCs w:val="24"/>
        </w:rPr>
      </w:pPr>
    </w:p>
    <w:p w14:paraId="5DDFCB44" w14:textId="77777777" w:rsidR="004322E9" w:rsidRDefault="004322E9" w:rsidP="003A600E">
      <w:pPr>
        <w:rPr>
          <w:b/>
          <w:sz w:val="24"/>
          <w:szCs w:val="24"/>
        </w:rPr>
      </w:pPr>
    </w:p>
    <w:p w14:paraId="6D85E81C" w14:textId="77777777" w:rsidR="004322E9" w:rsidRDefault="004322E9" w:rsidP="003A600E">
      <w:pPr>
        <w:rPr>
          <w:b/>
          <w:sz w:val="24"/>
          <w:szCs w:val="24"/>
        </w:rPr>
      </w:pPr>
    </w:p>
    <w:p w14:paraId="45267667" w14:textId="77777777" w:rsidR="004322E9" w:rsidRDefault="004322E9" w:rsidP="003A600E">
      <w:pPr>
        <w:rPr>
          <w:b/>
          <w:sz w:val="24"/>
          <w:szCs w:val="24"/>
        </w:rPr>
      </w:pPr>
    </w:p>
    <w:p w14:paraId="6F992D8C" w14:textId="77777777" w:rsidR="004322E9" w:rsidRDefault="004322E9" w:rsidP="003A600E">
      <w:pPr>
        <w:rPr>
          <w:b/>
          <w:sz w:val="24"/>
          <w:szCs w:val="24"/>
        </w:rPr>
      </w:pPr>
    </w:p>
    <w:p w14:paraId="627555C9" w14:textId="77777777" w:rsidR="004322E9" w:rsidRDefault="004322E9" w:rsidP="003A600E">
      <w:pPr>
        <w:rPr>
          <w:b/>
          <w:sz w:val="24"/>
          <w:szCs w:val="24"/>
        </w:rPr>
      </w:pPr>
    </w:p>
    <w:p w14:paraId="4A68D8A9" w14:textId="77777777" w:rsidR="00592DBB" w:rsidRDefault="00592DBB" w:rsidP="003A600E">
      <w:pPr>
        <w:rPr>
          <w:b/>
          <w:sz w:val="24"/>
          <w:szCs w:val="24"/>
        </w:rPr>
      </w:pPr>
    </w:p>
    <w:p w14:paraId="02765A3C" w14:textId="77777777" w:rsidR="00B70D40" w:rsidRDefault="00B70D40" w:rsidP="003A600E">
      <w:pPr>
        <w:rPr>
          <w:b/>
          <w:sz w:val="24"/>
          <w:szCs w:val="24"/>
        </w:rPr>
      </w:pPr>
    </w:p>
    <w:p w14:paraId="1EA0517D" w14:textId="77777777" w:rsidR="00B70D40" w:rsidRDefault="00B70D40" w:rsidP="003A600E">
      <w:pPr>
        <w:rPr>
          <w:b/>
          <w:sz w:val="24"/>
          <w:szCs w:val="24"/>
        </w:rPr>
      </w:pPr>
    </w:p>
    <w:p w14:paraId="76D6C26B" w14:textId="77777777" w:rsidR="00B70D40" w:rsidRDefault="00B70D40" w:rsidP="003A600E">
      <w:pPr>
        <w:rPr>
          <w:b/>
          <w:sz w:val="24"/>
          <w:szCs w:val="24"/>
        </w:rPr>
      </w:pPr>
    </w:p>
    <w:p w14:paraId="5C407371" w14:textId="77777777" w:rsidR="00B70D40" w:rsidRDefault="00B70D40" w:rsidP="003A600E">
      <w:pPr>
        <w:rPr>
          <w:b/>
          <w:sz w:val="24"/>
          <w:szCs w:val="24"/>
        </w:rPr>
      </w:pPr>
    </w:p>
    <w:p w14:paraId="31968AFA" w14:textId="77777777" w:rsidR="00B70D40" w:rsidRDefault="00B70D40" w:rsidP="003A600E">
      <w:pPr>
        <w:rPr>
          <w:b/>
          <w:sz w:val="24"/>
          <w:szCs w:val="24"/>
        </w:rPr>
      </w:pPr>
    </w:p>
    <w:p w14:paraId="78F22226" w14:textId="77777777" w:rsidR="00B70D40" w:rsidRDefault="00B70D40" w:rsidP="003A600E">
      <w:pPr>
        <w:rPr>
          <w:b/>
          <w:sz w:val="24"/>
          <w:szCs w:val="24"/>
        </w:rPr>
      </w:pPr>
    </w:p>
    <w:p w14:paraId="4B27A0C1" w14:textId="77777777" w:rsidR="00B70D40" w:rsidRDefault="00B70D40" w:rsidP="003A600E">
      <w:pPr>
        <w:rPr>
          <w:b/>
          <w:sz w:val="24"/>
          <w:szCs w:val="24"/>
        </w:rPr>
      </w:pPr>
    </w:p>
    <w:p w14:paraId="4FAA9562" w14:textId="77777777" w:rsidR="00B70D40" w:rsidRDefault="00B70D40" w:rsidP="003A600E">
      <w:pPr>
        <w:rPr>
          <w:b/>
          <w:sz w:val="24"/>
          <w:szCs w:val="24"/>
        </w:rPr>
      </w:pPr>
    </w:p>
    <w:p w14:paraId="30B5561F" w14:textId="77777777" w:rsidR="00B70D40" w:rsidRDefault="00B70D40" w:rsidP="003A600E">
      <w:pPr>
        <w:rPr>
          <w:b/>
          <w:sz w:val="24"/>
          <w:szCs w:val="24"/>
        </w:rPr>
      </w:pPr>
    </w:p>
    <w:p w14:paraId="52B9D964" w14:textId="77777777" w:rsidR="00B70D40" w:rsidRDefault="00B70D40" w:rsidP="003A600E">
      <w:pPr>
        <w:rPr>
          <w:b/>
          <w:sz w:val="24"/>
          <w:szCs w:val="24"/>
        </w:rPr>
      </w:pPr>
    </w:p>
    <w:p w14:paraId="286487A7" w14:textId="77777777" w:rsidR="00B70D40" w:rsidRDefault="00B70D40" w:rsidP="003A600E">
      <w:pPr>
        <w:rPr>
          <w:b/>
          <w:sz w:val="24"/>
          <w:szCs w:val="24"/>
        </w:rPr>
      </w:pPr>
    </w:p>
    <w:p w14:paraId="334CA0AA" w14:textId="3ED5BA9A" w:rsidR="003A600E" w:rsidRPr="003A600E" w:rsidRDefault="00CE302D" w:rsidP="003A60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Tiltak for et universelt utformet</w:t>
      </w:r>
      <w:r w:rsidR="003A600E" w:rsidRPr="003A600E">
        <w:rPr>
          <w:b/>
          <w:sz w:val="24"/>
          <w:szCs w:val="24"/>
        </w:rPr>
        <w:t xml:space="preserve"> læringsmiljø</w:t>
      </w:r>
    </w:p>
    <w:p w14:paraId="1DBC685C" w14:textId="32C54917" w:rsidR="003A600E" w:rsidRDefault="00B70D40" w:rsidP="003A60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Høgskolen i Molde skal arbeide for at det helhetlige læringsmiljøet er universelt utformet. </w:t>
      </w:r>
      <w:r w:rsidR="00537678">
        <w:rPr>
          <w:b/>
          <w:sz w:val="24"/>
          <w:szCs w:val="24"/>
        </w:rPr>
        <w:t>Nedenfor</w:t>
      </w:r>
      <w:r>
        <w:rPr>
          <w:b/>
          <w:sz w:val="24"/>
          <w:szCs w:val="24"/>
        </w:rPr>
        <w:t xml:space="preserve"> </w:t>
      </w:r>
      <w:r w:rsidR="00537678">
        <w:rPr>
          <w:b/>
          <w:sz w:val="24"/>
          <w:szCs w:val="24"/>
        </w:rPr>
        <w:t xml:space="preserve">følger en </w:t>
      </w:r>
      <w:r>
        <w:rPr>
          <w:b/>
          <w:sz w:val="24"/>
          <w:szCs w:val="24"/>
        </w:rPr>
        <w:t xml:space="preserve">tiltaksplan for universell utforming av de fem ulike delene i et læringsmiljø. </w:t>
      </w:r>
    </w:p>
    <w:p w14:paraId="5FFC59A7" w14:textId="77777777" w:rsidR="004322E9" w:rsidRDefault="004322E9" w:rsidP="003A600E">
      <w:pPr>
        <w:rPr>
          <w:b/>
          <w:sz w:val="24"/>
          <w:szCs w:val="24"/>
        </w:rPr>
      </w:pPr>
    </w:p>
    <w:p w14:paraId="6F083967" w14:textId="77777777" w:rsidR="003A600E" w:rsidRPr="001D0A84" w:rsidRDefault="00605D89" w:rsidP="003A60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Fysisk </w:t>
      </w:r>
      <w:r w:rsidR="003A600E" w:rsidRPr="001D0A84">
        <w:rPr>
          <w:b/>
          <w:sz w:val="24"/>
          <w:szCs w:val="24"/>
        </w:rPr>
        <w:t>læringsmiljø</w:t>
      </w:r>
    </w:p>
    <w:p w14:paraId="6FFE0BB0" w14:textId="001354A7" w:rsidR="00E11F4D" w:rsidRDefault="003A600E" w:rsidP="003A600E">
      <w:pPr>
        <w:rPr>
          <w:sz w:val="24"/>
          <w:szCs w:val="24"/>
        </w:rPr>
      </w:pPr>
      <w:r w:rsidRPr="001D0A84">
        <w:rPr>
          <w:sz w:val="24"/>
          <w:szCs w:val="24"/>
        </w:rPr>
        <w:t>Fysisk læringsmiljø er utforming og bruk av bygninger og fysiske omgivelser slik at det</w:t>
      </w:r>
      <w:r w:rsidR="00537678">
        <w:rPr>
          <w:sz w:val="24"/>
          <w:szCs w:val="24"/>
        </w:rPr>
        <w:t xml:space="preserve"> </w:t>
      </w:r>
      <w:r w:rsidRPr="001D0A84">
        <w:rPr>
          <w:sz w:val="24"/>
          <w:szCs w:val="24"/>
        </w:rPr>
        <w:t>fremmer læring og læringsaktiviteter.</w:t>
      </w:r>
    </w:p>
    <w:tbl>
      <w:tblPr>
        <w:tblStyle w:val="TableGrid"/>
        <w:tblpPr w:leftFromText="141" w:rightFromText="141" w:vertAnchor="page" w:horzAnchor="margin" w:tblpY="4966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E11F4D" w:rsidRPr="001D0A84" w14:paraId="04EF7602" w14:textId="77777777" w:rsidTr="00E11F4D">
        <w:trPr>
          <w:trHeight w:val="813"/>
        </w:trPr>
        <w:tc>
          <w:tcPr>
            <w:tcW w:w="8642" w:type="dxa"/>
          </w:tcPr>
          <w:p w14:paraId="53623AFA" w14:textId="5415BEDD" w:rsidR="00E11F4D" w:rsidRPr="001D0A84" w:rsidRDefault="00E11F4D" w:rsidP="0053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 byggeprosjekt skal være universelt u</w:t>
            </w:r>
            <w:r w:rsidR="00042B5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formet. Eksisterende bygninger</w:t>
            </w:r>
            <w:r w:rsidRPr="001D0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og uteområder skal </w:t>
            </w:r>
            <w:r w:rsidR="00042B55">
              <w:rPr>
                <w:sz w:val="24"/>
                <w:szCs w:val="24"/>
              </w:rPr>
              <w:t>årlig</w:t>
            </w:r>
            <w:r>
              <w:rPr>
                <w:sz w:val="24"/>
                <w:szCs w:val="24"/>
              </w:rPr>
              <w:t xml:space="preserve"> forbedres med tanke på universell utforming.</w:t>
            </w:r>
          </w:p>
        </w:tc>
      </w:tr>
      <w:tr w:rsidR="00E11F4D" w:rsidRPr="001D0A84" w14:paraId="6F9AEF2E" w14:textId="77777777" w:rsidTr="00E11F4D">
        <w:trPr>
          <w:trHeight w:val="1040"/>
        </w:trPr>
        <w:tc>
          <w:tcPr>
            <w:tcW w:w="8642" w:type="dxa"/>
          </w:tcPr>
          <w:p w14:paraId="7DE77DB4" w14:textId="5CBB6EFA" w:rsidR="00E11F4D" w:rsidRPr="001D0A84" w:rsidRDefault="00E11F4D" w:rsidP="0053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Studenter ved HiMolde skal </w:t>
            </w:r>
            <w:r w:rsidRPr="001D0A84">
              <w:rPr>
                <w:sz w:val="24"/>
                <w:szCs w:val="24"/>
              </w:rPr>
              <w:t xml:space="preserve">ha et tilfredsstillende tilbud av boliger tilrettelagt for </w:t>
            </w:r>
            <w:r>
              <w:rPr>
                <w:sz w:val="24"/>
                <w:szCs w:val="24"/>
              </w:rPr>
              <w:t>de med</w:t>
            </w:r>
            <w:r w:rsidRPr="001D0A84">
              <w:rPr>
                <w:sz w:val="24"/>
                <w:szCs w:val="24"/>
              </w:rPr>
              <w:t xml:space="preserve"> nedsatt funksjonsevne.</w:t>
            </w:r>
          </w:p>
        </w:tc>
      </w:tr>
    </w:tbl>
    <w:p w14:paraId="18CE9AE0" w14:textId="77777777" w:rsidR="00E11F4D" w:rsidRDefault="00E11F4D" w:rsidP="003A600E">
      <w:pPr>
        <w:rPr>
          <w:b/>
          <w:sz w:val="24"/>
          <w:szCs w:val="24"/>
        </w:rPr>
      </w:pPr>
    </w:p>
    <w:p w14:paraId="44869221" w14:textId="77777777" w:rsidR="00E11F4D" w:rsidRDefault="00E11F4D" w:rsidP="003A600E">
      <w:pPr>
        <w:rPr>
          <w:b/>
          <w:sz w:val="24"/>
          <w:szCs w:val="24"/>
        </w:rPr>
      </w:pPr>
    </w:p>
    <w:p w14:paraId="37D893E8" w14:textId="49184E74" w:rsidR="003A600E" w:rsidRPr="001D0A84" w:rsidRDefault="003A600E" w:rsidP="003A600E">
      <w:pPr>
        <w:rPr>
          <w:b/>
          <w:sz w:val="24"/>
          <w:szCs w:val="24"/>
        </w:rPr>
      </w:pPr>
      <w:r w:rsidRPr="001D0A84">
        <w:rPr>
          <w:b/>
          <w:sz w:val="24"/>
          <w:szCs w:val="24"/>
        </w:rPr>
        <w:t>2.2 Psykososialt læringsmiljø</w:t>
      </w:r>
    </w:p>
    <w:p w14:paraId="0AAF0F50" w14:textId="69717050" w:rsidR="003A600E" w:rsidRDefault="003A600E" w:rsidP="003A600E">
      <w:pPr>
        <w:rPr>
          <w:sz w:val="24"/>
          <w:szCs w:val="24"/>
        </w:rPr>
      </w:pPr>
      <w:r w:rsidRPr="001D0A84">
        <w:rPr>
          <w:sz w:val="24"/>
          <w:szCs w:val="24"/>
        </w:rPr>
        <w:t>Psykososialt læringsmiljø omhandler mellommenneskelige forhold i forbindelse med aktiviteter ved skolen. Det omhandler trivsel og samhandling mellom studenter og mellom studenter og ansatte.</w:t>
      </w:r>
    </w:p>
    <w:p w14:paraId="3FEE8A59" w14:textId="77777777" w:rsidR="00E11F4D" w:rsidRPr="001D0A84" w:rsidRDefault="00E11F4D" w:rsidP="003A600E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E11F4D" w:rsidRPr="001D0A84" w14:paraId="45FED552" w14:textId="77777777" w:rsidTr="00E11F4D">
        <w:tc>
          <w:tcPr>
            <w:tcW w:w="8784" w:type="dxa"/>
          </w:tcPr>
          <w:p w14:paraId="12766337" w14:textId="7B196399" w:rsidR="00E11F4D" w:rsidRDefault="00E11F4D" w:rsidP="005A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Høgskolen i Molde skal, i samarbeid med Studentsamskipnaden, arbeide for et </w:t>
            </w:r>
            <w:r w:rsidRPr="001D0A84">
              <w:rPr>
                <w:sz w:val="24"/>
                <w:szCs w:val="24"/>
              </w:rPr>
              <w:t>inkluderende læringsmiljø</w:t>
            </w:r>
            <w:r>
              <w:rPr>
                <w:sz w:val="24"/>
                <w:szCs w:val="24"/>
              </w:rPr>
              <w:t xml:space="preserve">, </w:t>
            </w:r>
            <w:r w:rsidRPr="001D0A84">
              <w:rPr>
                <w:sz w:val="24"/>
                <w:szCs w:val="24"/>
              </w:rPr>
              <w:t>med</w:t>
            </w:r>
            <w:r>
              <w:rPr>
                <w:sz w:val="24"/>
                <w:szCs w:val="24"/>
              </w:rPr>
              <w:t xml:space="preserve"> tilbud om</w:t>
            </w:r>
            <w:r w:rsidRPr="001D0A84">
              <w:rPr>
                <w:sz w:val="24"/>
                <w:szCs w:val="24"/>
              </w:rPr>
              <w:t xml:space="preserve"> student</w:t>
            </w:r>
            <w:r>
              <w:rPr>
                <w:sz w:val="24"/>
                <w:szCs w:val="24"/>
              </w:rPr>
              <w:t>aktiviteter og</w:t>
            </w:r>
            <w:r w:rsidRPr="001D0A84">
              <w:rPr>
                <w:sz w:val="24"/>
                <w:szCs w:val="24"/>
              </w:rPr>
              <w:t xml:space="preserve"> gode møteplasser.</w:t>
            </w:r>
            <w:r>
              <w:rPr>
                <w:sz w:val="24"/>
                <w:szCs w:val="24"/>
              </w:rPr>
              <w:t xml:space="preserve"> </w:t>
            </w:r>
          </w:p>
          <w:p w14:paraId="6E28D2DF" w14:textId="77777777" w:rsidR="00E11F4D" w:rsidRDefault="00E11F4D" w:rsidP="005A2A48">
            <w:pPr>
              <w:rPr>
                <w:sz w:val="24"/>
                <w:szCs w:val="24"/>
              </w:rPr>
            </w:pPr>
          </w:p>
        </w:tc>
      </w:tr>
      <w:tr w:rsidR="00E11F4D" w:rsidRPr="001D0A84" w14:paraId="4D563B8C" w14:textId="77777777" w:rsidTr="00E11F4D">
        <w:tc>
          <w:tcPr>
            <w:tcW w:w="8784" w:type="dxa"/>
          </w:tcPr>
          <w:p w14:paraId="09ACB336" w14:textId="31F703B2" w:rsidR="00E11F4D" w:rsidRDefault="00E11F4D" w:rsidP="002A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 studenter skal tas imot med et bredt spekter av aktiviteter for å inkludere flest mulig. Høgskolen skal være med å gjøre velferdstilbudet til Studentsamskipnaden kjent for nye studenter.</w:t>
            </w:r>
          </w:p>
          <w:p w14:paraId="0B098FFF" w14:textId="4163D7B6" w:rsidR="00E11F4D" w:rsidRDefault="00E11F4D" w:rsidP="005A2A48">
            <w:pPr>
              <w:rPr>
                <w:sz w:val="24"/>
                <w:szCs w:val="24"/>
              </w:rPr>
            </w:pPr>
          </w:p>
        </w:tc>
      </w:tr>
      <w:tr w:rsidR="00E11F4D" w:rsidRPr="001D0A84" w14:paraId="2D1C8777" w14:textId="77777777" w:rsidTr="00E11F4D">
        <w:tc>
          <w:tcPr>
            <w:tcW w:w="8784" w:type="dxa"/>
          </w:tcPr>
          <w:p w14:paraId="491F10EB" w14:textId="401175A0" w:rsidR="00E11F4D" w:rsidRDefault="00E11F4D" w:rsidP="005A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Resultater fra Studenters Helse- og Trivsel</w:t>
            </w:r>
            <w:r w:rsidR="00042B5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undersøkelse (SHoT) skal gjennomgås </w:t>
            </w:r>
            <w:r w:rsidR="00042B55">
              <w:rPr>
                <w:sz w:val="24"/>
                <w:szCs w:val="24"/>
              </w:rPr>
              <w:t xml:space="preserve">av samskipnaden, skolens utvalg, høgskolestyret og i allmøte, </w:t>
            </w:r>
            <w:r>
              <w:rPr>
                <w:sz w:val="24"/>
                <w:szCs w:val="24"/>
              </w:rPr>
              <w:t>og tiltak gjøres i samarbeid med Studentsamskipnaden. Det skal være et mål at flest mulig studenter som er blitt tilsendt undersøkelsen deltar.</w:t>
            </w:r>
          </w:p>
          <w:p w14:paraId="07D54BBF" w14:textId="585B7EDF" w:rsidR="00E11F4D" w:rsidRPr="001D0A84" w:rsidRDefault="00E11F4D" w:rsidP="005A2A48">
            <w:pPr>
              <w:rPr>
                <w:sz w:val="24"/>
                <w:szCs w:val="24"/>
              </w:rPr>
            </w:pPr>
          </w:p>
        </w:tc>
      </w:tr>
      <w:tr w:rsidR="00E11F4D" w:rsidRPr="001D0A84" w14:paraId="10A74CB8" w14:textId="77777777" w:rsidTr="00E11F4D">
        <w:tc>
          <w:tcPr>
            <w:tcW w:w="8784" w:type="dxa"/>
          </w:tcPr>
          <w:p w14:paraId="3A85B3B4" w14:textId="6AF3CAF0" w:rsidR="00E11F4D" w:rsidRPr="001D0A84" w:rsidRDefault="00E11F4D" w:rsidP="005A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 skal tilbys f</w:t>
            </w:r>
            <w:r w:rsidRPr="001D0A84">
              <w:rPr>
                <w:sz w:val="24"/>
                <w:szCs w:val="24"/>
              </w:rPr>
              <w:t>aglig og personlig rådgivning</w:t>
            </w:r>
            <w:r>
              <w:rPr>
                <w:sz w:val="24"/>
                <w:szCs w:val="24"/>
              </w:rPr>
              <w:t>, i samarbeid med Studentsamskipnaden.</w:t>
            </w:r>
          </w:p>
        </w:tc>
      </w:tr>
    </w:tbl>
    <w:p w14:paraId="6689B4DE" w14:textId="77777777" w:rsidR="003A600E" w:rsidRDefault="003A600E" w:rsidP="003A600E">
      <w:pPr>
        <w:rPr>
          <w:b/>
          <w:sz w:val="24"/>
          <w:szCs w:val="24"/>
        </w:rPr>
      </w:pPr>
    </w:p>
    <w:p w14:paraId="13A4CB52" w14:textId="77777777" w:rsidR="00E11F4D" w:rsidRDefault="00E11F4D" w:rsidP="003A600E">
      <w:pPr>
        <w:rPr>
          <w:b/>
          <w:sz w:val="24"/>
          <w:szCs w:val="24"/>
        </w:rPr>
      </w:pPr>
    </w:p>
    <w:p w14:paraId="374EDA50" w14:textId="77777777" w:rsidR="00E11F4D" w:rsidRDefault="00E11F4D" w:rsidP="003A600E">
      <w:pPr>
        <w:rPr>
          <w:b/>
          <w:sz w:val="24"/>
          <w:szCs w:val="24"/>
        </w:rPr>
      </w:pPr>
    </w:p>
    <w:p w14:paraId="4BEC9CF0" w14:textId="3418D276" w:rsidR="003A600E" w:rsidRPr="001D0A84" w:rsidRDefault="003A600E" w:rsidP="003A600E">
      <w:pPr>
        <w:rPr>
          <w:b/>
          <w:sz w:val="24"/>
          <w:szCs w:val="24"/>
        </w:rPr>
      </w:pPr>
      <w:r w:rsidRPr="001D0A84">
        <w:rPr>
          <w:b/>
          <w:sz w:val="24"/>
          <w:szCs w:val="24"/>
        </w:rPr>
        <w:t>2.3 Organisatorisk læringsmiljø</w:t>
      </w:r>
    </w:p>
    <w:p w14:paraId="4F4D796E" w14:textId="437E3140" w:rsidR="003A600E" w:rsidRDefault="003A600E" w:rsidP="003A600E">
      <w:pPr>
        <w:rPr>
          <w:sz w:val="24"/>
          <w:szCs w:val="24"/>
        </w:rPr>
      </w:pPr>
      <w:r w:rsidRPr="001D0A84">
        <w:rPr>
          <w:sz w:val="24"/>
          <w:szCs w:val="24"/>
        </w:rPr>
        <w:t>Organisatorisk læringsmiljø omhandler systemer for tilbakemelding og medvirkning, og skal sikre studentenes medvirkning i prosesser som har innvirkning på studentenes totale læringsmiljø.</w:t>
      </w:r>
    </w:p>
    <w:p w14:paraId="5B34432F" w14:textId="77777777" w:rsidR="00E11F4D" w:rsidRPr="001D0A84" w:rsidRDefault="00E11F4D" w:rsidP="003A600E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E11F4D" w:rsidRPr="001D0A84" w14:paraId="678F2BF7" w14:textId="77777777" w:rsidTr="00E11F4D">
        <w:tc>
          <w:tcPr>
            <w:tcW w:w="8926" w:type="dxa"/>
          </w:tcPr>
          <w:p w14:paraId="35392E9B" w14:textId="379A1595" w:rsidR="00E11F4D" w:rsidRDefault="00E11F4D" w:rsidP="00AC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</w:t>
            </w:r>
            <w:r w:rsidRPr="001D0A84">
              <w:rPr>
                <w:sz w:val="24"/>
                <w:szCs w:val="24"/>
              </w:rPr>
              <w:t xml:space="preserve"> om</w:t>
            </w:r>
            <w:r>
              <w:rPr>
                <w:sz w:val="24"/>
                <w:szCs w:val="24"/>
              </w:rPr>
              <w:t xml:space="preserve"> kvalitetssystem, læringsmiljø og</w:t>
            </w:r>
            <w:r w:rsidRPr="001D0A84">
              <w:rPr>
                <w:sz w:val="24"/>
                <w:szCs w:val="24"/>
              </w:rPr>
              <w:t xml:space="preserve"> tilretteleggin</w:t>
            </w:r>
            <w:r>
              <w:rPr>
                <w:sz w:val="24"/>
                <w:szCs w:val="24"/>
              </w:rPr>
              <w:t xml:space="preserve">g skal være tilgjengelig for studenter på HiMoldes nettsider, </w:t>
            </w:r>
            <w:r w:rsidRPr="001D0A84">
              <w:rPr>
                <w:sz w:val="24"/>
                <w:szCs w:val="24"/>
              </w:rPr>
              <w:t>både på engelsk og norsk</w:t>
            </w:r>
            <w:r>
              <w:rPr>
                <w:sz w:val="24"/>
                <w:szCs w:val="24"/>
              </w:rPr>
              <w:t>.</w:t>
            </w:r>
          </w:p>
          <w:p w14:paraId="1B0151FE" w14:textId="77777777" w:rsidR="00E11F4D" w:rsidRPr="001D0A84" w:rsidRDefault="00E11F4D" w:rsidP="00AC4F78">
            <w:pPr>
              <w:rPr>
                <w:sz w:val="24"/>
                <w:szCs w:val="24"/>
              </w:rPr>
            </w:pPr>
          </w:p>
        </w:tc>
      </w:tr>
      <w:tr w:rsidR="00E11F4D" w:rsidRPr="001D0A84" w14:paraId="70194D0B" w14:textId="77777777" w:rsidTr="00E11F4D">
        <w:tc>
          <w:tcPr>
            <w:tcW w:w="8926" w:type="dxa"/>
          </w:tcPr>
          <w:p w14:paraId="4ECF0311" w14:textId="454DC451" w:rsidR="00E11F4D" w:rsidRDefault="00E11F4D" w:rsidP="005A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Høgskolen skal legge </w:t>
            </w:r>
            <w:r w:rsidRPr="00EA662C">
              <w:rPr>
                <w:sz w:val="24"/>
                <w:szCs w:val="24"/>
              </w:rPr>
              <w:t>til rette for studentdemokrati</w:t>
            </w:r>
            <w:r w:rsidRPr="001D0A84">
              <w:rPr>
                <w:sz w:val="24"/>
                <w:szCs w:val="24"/>
              </w:rPr>
              <w:t xml:space="preserve"> og medbestemmelse i saker som angår </w:t>
            </w:r>
            <w:r>
              <w:rPr>
                <w:sz w:val="24"/>
                <w:szCs w:val="24"/>
              </w:rPr>
              <w:t>læringsmiljøet.</w:t>
            </w:r>
            <w:r w:rsidRPr="001D0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Studenter skal kunne rapportere om</w:t>
            </w:r>
            <w:r>
              <w:t xml:space="preserve"> og </w:t>
            </w:r>
            <w:r w:rsidRPr="005A2A48">
              <w:rPr>
                <w:sz w:val="24"/>
                <w:szCs w:val="24"/>
              </w:rPr>
              <w:t xml:space="preserve">delta i utviklingen av </w:t>
            </w:r>
            <w:r>
              <w:rPr>
                <w:sz w:val="24"/>
                <w:szCs w:val="24"/>
              </w:rPr>
              <w:t xml:space="preserve">læringsmiljøet i evaluering av studier og undervisning, via SiFra! knappen og ved å delta i utvalg, på kullmøter og i kvalitetsteam. </w:t>
            </w:r>
          </w:p>
          <w:p w14:paraId="7F29D12E" w14:textId="77777777" w:rsidR="00E11F4D" w:rsidRDefault="00E11F4D" w:rsidP="00AC4F78">
            <w:pPr>
              <w:rPr>
                <w:sz w:val="24"/>
                <w:szCs w:val="24"/>
              </w:rPr>
            </w:pPr>
          </w:p>
        </w:tc>
      </w:tr>
      <w:tr w:rsidR="00E11F4D" w:rsidRPr="001D0A84" w14:paraId="3E969A4E" w14:textId="77777777" w:rsidTr="00E11F4D">
        <w:tc>
          <w:tcPr>
            <w:tcW w:w="8926" w:type="dxa"/>
          </w:tcPr>
          <w:p w14:paraId="60075841" w14:textId="29B3D8ED" w:rsidR="00E11F4D" w:rsidRDefault="00E11F4D" w:rsidP="00AC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Resultater fra undersøkelsen Studiebarometeret om l</w:t>
            </w:r>
            <w:r w:rsidRPr="001D0A84">
              <w:rPr>
                <w:sz w:val="24"/>
                <w:szCs w:val="24"/>
              </w:rPr>
              <w:t>æringsmiljø i</w:t>
            </w:r>
            <w:r>
              <w:rPr>
                <w:sz w:val="24"/>
                <w:szCs w:val="24"/>
              </w:rPr>
              <w:t xml:space="preserve"> skal gjennomgås og tiltak gjøres. Det skal være et mål at flest mulig studenter som er blitt tilsendt undersøkelsen deltar.</w:t>
            </w:r>
          </w:p>
          <w:p w14:paraId="14D195E6" w14:textId="77777777" w:rsidR="00E11F4D" w:rsidRPr="001D0A84" w:rsidRDefault="00E11F4D" w:rsidP="00AC4F78">
            <w:pPr>
              <w:rPr>
                <w:sz w:val="24"/>
                <w:szCs w:val="24"/>
              </w:rPr>
            </w:pPr>
          </w:p>
        </w:tc>
      </w:tr>
      <w:tr w:rsidR="00E11F4D" w:rsidRPr="001D0A84" w14:paraId="71690EFD" w14:textId="77777777" w:rsidTr="00E11F4D">
        <w:tc>
          <w:tcPr>
            <w:tcW w:w="8926" w:type="dxa"/>
          </w:tcPr>
          <w:p w14:paraId="32AA7223" w14:textId="25369DD1" w:rsidR="00E11F4D" w:rsidRDefault="00E11F4D" w:rsidP="00AC4F78">
            <w:pPr>
              <w:rPr>
                <w:sz w:val="24"/>
                <w:szCs w:val="24"/>
              </w:rPr>
            </w:pPr>
            <w:r w:rsidRPr="001D0A84">
              <w:rPr>
                <w:sz w:val="24"/>
                <w:szCs w:val="24"/>
              </w:rPr>
              <w:t>Pedag</w:t>
            </w:r>
            <w:r>
              <w:rPr>
                <w:sz w:val="24"/>
                <w:szCs w:val="24"/>
              </w:rPr>
              <w:t>ogisk pris og Studiemiljøprisen skal være kjent for studentmassen.</w:t>
            </w:r>
            <w:r w:rsidRPr="001D0A84">
              <w:rPr>
                <w:sz w:val="24"/>
                <w:szCs w:val="24"/>
              </w:rPr>
              <w:t xml:space="preserve"> </w:t>
            </w:r>
          </w:p>
          <w:p w14:paraId="4FE96D59" w14:textId="77777777" w:rsidR="00E11F4D" w:rsidRPr="001D0A84" w:rsidRDefault="00E11F4D" w:rsidP="00AC4F78">
            <w:pPr>
              <w:rPr>
                <w:sz w:val="24"/>
                <w:szCs w:val="24"/>
              </w:rPr>
            </w:pPr>
          </w:p>
        </w:tc>
      </w:tr>
      <w:tr w:rsidR="00E11F4D" w:rsidRPr="001D0A84" w14:paraId="5CB9A6F1" w14:textId="77777777" w:rsidTr="00E11F4D">
        <w:tc>
          <w:tcPr>
            <w:tcW w:w="8926" w:type="dxa"/>
          </w:tcPr>
          <w:p w14:paraId="6670F133" w14:textId="51DEFC2B" w:rsidR="00E11F4D" w:rsidRDefault="00E11F4D" w:rsidP="00AC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LMU skal hvert år legge frem for Høgskolestyret en</w:t>
            </w:r>
            <w:r w:rsidRPr="001D0A84">
              <w:rPr>
                <w:sz w:val="24"/>
                <w:szCs w:val="24"/>
              </w:rPr>
              <w:t xml:space="preserve"> rapport over tiltak gjort for </w:t>
            </w:r>
            <w:r>
              <w:rPr>
                <w:sz w:val="24"/>
                <w:szCs w:val="24"/>
              </w:rPr>
              <w:t>l</w:t>
            </w:r>
            <w:r w:rsidRPr="001D0A84">
              <w:rPr>
                <w:sz w:val="24"/>
                <w:szCs w:val="24"/>
              </w:rPr>
              <w:t>æringsmiljøet og tilrettelegging ved HiMolde.</w:t>
            </w:r>
          </w:p>
          <w:p w14:paraId="15E223F2" w14:textId="77777777" w:rsidR="00E11F4D" w:rsidRPr="001D0A84" w:rsidRDefault="00E11F4D" w:rsidP="00AC4F78">
            <w:pPr>
              <w:rPr>
                <w:sz w:val="24"/>
                <w:szCs w:val="24"/>
              </w:rPr>
            </w:pPr>
          </w:p>
        </w:tc>
      </w:tr>
      <w:tr w:rsidR="00E11F4D" w:rsidRPr="001D0A84" w14:paraId="6C03D68D" w14:textId="77777777" w:rsidTr="00E11F4D">
        <w:tc>
          <w:tcPr>
            <w:tcW w:w="8926" w:type="dxa"/>
          </w:tcPr>
          <w:p w14:paraId="7AE35357" w14:textId="727CCEEA" w:rsidR="00E11F4D" w:rsidRPr="001D0A84" w:rsidRDefault="00E11F4D" w:rsidP="00AC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Studenter skal ha mulighet til å søke om og </w:t>
            </w:r>
            <w:r w:rsidRPr="001D0A84">
              <w:rPr>
                <w:sz w:val="24"/>
                <w:szCs w:val="24"/>
              </w:rPr>
              <w:t xml:space="preserve">klage på vedtak </w:t>
            </w:r>
            <w:r>
              <w:rPr>
                <w:sz w:val="24"/>
                <w:szCs w:val="24"/>
              </w:rPr>
              <w:t>om tilrettelegging av undervisning og eksamen.</w:t>
            </w:r>
          </w:p>
        </w:tc>
      </w:tr>
    </w:tbl>
    <w:p w14:paraId="2E9C1838" w14:textId="77777777" w:rsidR="005A2A48" w:rsidRDefault="005A2A48" w:rsidP="003A600E">
      <w:pPr>
        <w:rPr>
          <w:sz w:val="24"/>
          <w:szCs w:val="24"/>
        </w:rPr>
      </w:pPr>
    </w:p>
    <w:p w14:paraId="148D6880" w14:textId="77777777" w:rsidR="00E11F4D" w:rsidRDefault="00E11F4D" w:rsidP="003A600E">
      <w:pPr>
        <w:rPr>
          <w:b/>
          <w:sz w:val="24"/>
          <w:szCs w:val="24"/>
        </w:rPr>
      </w:pPr>
    </w:p>
    <w:p w14:paraId="01C764AE" w14:textId="7F02413B" w:rsidR="003A600E" w:rsidRPr="001D0A84" w:rsidRDefault="003A600E" w:rsidP="003A600E">
      <w:pPr>
        <w:rPr>
          <w:b/>
          <w:sz w:val="24"/>
          <w:szCs w:val="24"/>
        </w:rPr>
      </w:pPr>
      <w:r w:rsidRPr="001D0A84">
        <w:rPr>
          <w:b/>
          <w:sz w:val="24"/>
          <w:szCs w:val="24"/>
        </w:rPr>
        <w:t xml:space="preserve">2.4 Digitalt læringsmiljø </w:t>
      </w:r>
    </w:p>
    <w:p w14:paraId="4986101A" w14:textId="7010D53F" w:rsidR="00EA662C" w:rsidRDefault="008A08EF" w:rsidP="003A600E">
      <w:pPr>
        <w:rPr>
          <w:sz w:val="24"/>
          <w:szCs w:val="24"/>
        </w:rPr>
      </w:pPr>
      <w:r>
        <w:rPr>
          <w:sz w:val="24"/>
          <w:szCs w:val="24"/>
        </w:rPr>
        <w:t>Det digitale læringsmiljø</w:t>
      </w:r>
      <w:r w:rsidR="00CC66D5">
        <w:rPr>
          <w:sz w:val="24"/>
          <w:szCs w:val="24"/>
        </w:rPr>
        <w:t>et</w:t>
      </w:r>
      <w:r>
        <w:rPr>
          <w:sz w:val="24"/>
          <w:szCs w:val="24"/>
        </w:rPr>
        <w:t xml:space="preserve"> om</w:t>
      </w:r>
      <w:r w:rsidR="00CC66D5">
        <w:rPr>
          <w:sz w:val="24"/>
          <w:szCs w:val="24"/>
        </w:rPr>
        <w:t>fatter</w:t>
      </w:r>
      <w:r>
        <w:rPr>
          <w:sz w:val="24"/>
          <w:szCs w:val="24"/>
        </w:rPr>
        <w:t xml:space="preserve"> hvordan vi bruker </w:t>
      </w:r>
      <w:r w:rsidR="00CC66D5">
        <w:rPr>
          <w:sz w:val="24"/>
          <w:szCs w:val="24"/>
        </w:rPr>
        <w:t>informasjons- og kommunikasjonsteknologi</w:t>
      </w:r>
      <w:r w:rsidR="000425EC">
        <w:rPr>
          <w:sz w:val="24"/>
          <w:szCs w:val="24"/>
        </w:rPr>
        <w:t xml:space="preserve"> (IKT)</w:t>
      </w:r>
      <w:r>
        <w:rPr>
          <w:sz w:val="24"/>
          <w:szCs w:val="24"/>
        </w:rPr>
        <w:t xml:space="preserve"> </w:t>
      </w:r>
      <w:r w:rsidR="00CC66D5">
        <w:rPr>
          <w:sz w:val="24"/>
          <w:szCs w:val="24"/>
        </w:rPr>
        <w:t xml:space="preserve">som et redskap. Digitale læringsmidler kan være nettsider, apper, e-læringsplattformer, videoer, dokumenter og digital eksamen. </w:t>
      </w:r>
    </w:p>
    <w:p w14:paraId="50D1B577" w14:textId="77777777" w:rsidR="00E11F4D" w:rsidRPr="001D0A84" w:rsidRDefault="00E11F4D" w:rsidP="003A600E">
      <w:pPr>
        <w:rPr>
          <w:color w:val="44546A" w:themeColor="text2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11F4D" w:rsidRPr="001D0A84" w14:paraId="30405EC4" w14:textId="77777777" w:rsidTr="00E11F4D">
        <w:tc>
          <w:tcPr>
            <w:tcW w:w="8926" w:type="dxa"/>
          </w:tcPr>
          <w:p w14:paraId="0F7D21FF" w14:textId="07E4042C" w:rsidR="00E11F4D" w:rsidRPr="001D0A84" w:rsidRDefault="00E11F4D" w:rsidP="000425EC">
            <w:pPr>
              <w:rPr>
                <w:sz w:val="24"/>
                <w:szCs w:val="24"/>
              </w:rPr>
            </w:pPr>
            <w:r w:rsidRPr="001D0A84">
              <w:rPr>
                <w:sz w:val="24"/>
                <w:szCs w:val="24"/>
              </w:rPr>
              <w:t>HiMolde</w:t>
            </w:r>
            <w:r>
              <w:rPr>
                <w:sz w:val="24"/>
                <w:szCs w:val="24"/>
              </w:rPr>
              <w:t>s IKT-løsninger skal være universelt u</w:t>
            </w:r>
            <w:r w:rsidR="00042B5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formet i tråd med </w:t>
            </w:r>
            <w:r w:rsidR="00042B55">
              <w:rPr>
                <w:sz w:val="24"/>
                <w:szCs w:val="24"/>
              </w:rPr>
              <w:t xml:space="preserve">gjeldende </w:t>
            </w:r>
            <w:r>
              <w:rPr>
                <w:sz w:val="24"/>
                <w:szCs w:val="24"/>
              </w:rPr>
              <w:t>lovverket.</w:t>
            </w:r>
          </w:p>
        </w:tc>
      </w:tr>
      <w:tr w:rsidR="00E11F4D" w:rsidRPr="001D0A84" w14:paraId="7ADEA81E" w14:textId="77777777" w:rsidTr="00E11F4D">
        <w:tc>
          <w:tcPr>
            <w:tcW w:w="8926" w:type="dxa"/>
          </w:tcPr>
          <w:p w14:paraId="77DCFBA6" w14:textId="3B85FF19" w:rsidR="00E11F4D" w:rsidRPr="001D0A84" w:rsidRDefault="00E11F4D" w:rsidP="0004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tilgjengelighetserklæring over IKT-løsninger vi bruker skal </w:t>
            </w:r>
            <w:r w:rsidR="00042B55">
              <w:rPr>
                <w:sz w:val="24"/>
                <w:szCs w:val="24"/>
              </w:rPr>
              <w:t xml:space="preserve">evalueres og </w:t>
            </w:r>
            <w:r>
              <w:rPr>
                <w:sz w:val="24"/>
                <w:szCs w:val="24"/>
              </w:rPr>
              <w:t xml:space="preserve">oppdateres hvert år. Erklæringen skal være synlig på </w:t>
            </w:r>
            <w:r w:rsidR="00042B55">
              <w:rPr>
                <w:sz w:val="24"/>
                <w:szCs w:val="24"/>
              </w:rPr>
              <w:t>vå</w:t>
            </w:r>
            <w:r>
              <w:rPr>
                <w:sz w:val="24"/>
                <w:szCs w:val="24"/>
              </w:rPr>
              <w:t>re nettsider og inkludere kontaktmuligheter for brukere av IKT-løsningene.</w:t>
            </w:r>
          </w:p>
        </w:tc>
      </w:tr>
      <w:tr w:rsidR="00E11F4D" w:rsidRPr="001D0A84" w14:paraId="146B85B1" w14:textId="77777777" w:rsidTr="00E11F4D">
        <w:tc>
          <w:tcPr>
            <w:tcW w:w="8926" w:type="dxa"/>
          </w:tcPr>
          <w:p w14:paraId="51EE9041" w14:textId="7339B183" w:rsidR="00E11F4D" w:rsidRPr="001D0A84" w:rsidRDefault="00E11F4D" w:rsidP="00DC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Ansatte og studenter skal tilbys opplæring og support i bruken av digitale verktøy.</w:t>
            </w:r>
          </w:p>
        </w:tc>
      </w:tr>
      <w:tr w:rsidR="00E11F4D" w:rsidRPr="001D0A84" w14:paraId="1B325320" w14:textId="77777777" w:rsidTr="00E11F4D">
        <w:trPr>
          <w:trHeight w:val="841"/>
        </w:trPr>
        <w:tc>
          <w:tcPr>
            <w:tcW w:w="8926" w:type="dxa"/>
          </w:tcPr>
          <w:p w14:paraId="70C7A488" w14:textId="300B1A96" w:rsidR="00E11F4D" w:rsidRDefault="00E11F4D" w:rsidP="00DC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undervisning og eksamen skal ikke være en barriere for studenter med funksjonshemminger.</w:t>
            </w:r>
          </w:p>
          <w:p w14:paraId="35FFEA5F" w14:textId="77777777" w:rsidR="00E11F4D" w:rsidRPr="001D0A84" w:rsidRDefault="00E11F4D" w:rsidP="00DC7F59">
            <w:pPr>
              <w:rPr>
                <w:sz w:val="24"/>
                <w:szCs w:val="24"/>
              </w:rPr>
            </w:pPr>
          </w:p>
        </w:tc>
      </w:tr>
    </w:tbl>
    <w:p w14:paraId="65859C74" w14:textId="77777777" w:rsidR="003A600E" w:rsidRPr="001D0A84" w:rsidRDefault="003A600E" w:rsidP="003A600E">
      <w:pPr>
        <w:rPr>
          <w:sz w:val="24"/>
          <w:szCs w:val="24"/>
        </w:rPr>
      </w:pPr>
    </w:p>
    <w:p w14:paraId="51CFE8A7" w14:textId="77777777" w:rsidR="003A600E" w:rsidRPr="001D0A84" w:rsidRDefault="003A600E" w:rsidP="003A600E">
      <w:pPr>
        <w:rPr>
          <w:b/>
          <w:sz w:val="24"/>
          <w:szCs w:val="24"/>
        </w:rPr>
      </w:pPr>
      <w:r w:rsidRPr="001D0A84">
        <w:rPr>
          <w:b/>
          <w:sz w:val="24"/>
          <w:szCs w:val="24"/>
        </w:rPr>
        <w:t>2.5 Pedagogisk læringsmiljø</w:t>
      </w:r>
    </w:p>
    <w:p w14:paraId="301D38B1" w14:textId="77777777" w:rsidR="003A600E" w:rsidRPr="001D0A84" w:rsidRDefault="003A600E" w:rsidP="003A600E">
      <w:pPr>
        <w:rPr>
          <w:sz w:val="24"/>
          <w:szCs w:val="24"/>
        </w:rPr>
      </w:pPr>
      <w:r w:rsidRPr="001D0A84">
        <w:rPr>
          <w:sz w:val="24"/>
          <w:szCs w:val="24"/>
        </w:rPr>
        <w:t xml:space="preserve">Pedagogisk læringsmiljø omhandler den pedagogiske aktiviteten som påvirker studentenes læring. Dette berører utforming av mål, innhold, aktiviteter og vurderinger. Alle skal kunne ta del i undervisningen og ha et best mulig utbytte av denne. </w:t>
      </w:r>
    </w:p>
    <w:p w14:paraId="6C14B8F6" w14:textId="77777777" w:rsidR="003A600E" w:rsidRPr="001D0A84" w:rsidRDefault="003A600E" w:rsidP="003A600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11F4D" w:rsidRPr="001D0A84" w14:paraId="7E347865" w14:textId="77777777" w:rsidTr="00E11F4D">
        <w:tc>
          <w:tcPr>
            <w:tcW w:w="8926" w:type="dxa"/>
          </w:tcPr>
          <w:p w14:paraId="51EE4203" w14:textId="50049F0D" w:rsidR="00E11F4D" w:rsidRPr="001D0A84" w:rsidRDefault="00E11F4D" w:rsidP="002A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i pedagogikk bør inkludere kunnskap om universell utforming og psykososialt læringsmiljø.</w:t>
            </w:r>
          </w:p>
        </w:tc>
      </w:tr>
      <w:tr w:rsidR="00E11F4D" w:rsidRPr="001D0A84" w14:paraId="160BF5FD" w14:textId="77777777" w:rsidTr="00E11F4D">
        <w:tc>
          <w:tcPr>
            <w:tcW w:w="8926" w:type="dxa"/>
          </w:tcPr>
          <w:p w14:paraId="61364FFC" w14:textId="2C232D3D" w:rsidR="00E11F4D" w:rsidRPr="001D0A84" w:rsidRDefault="00E11F4D" w:rsidP="00DC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D0A84">
              <w:rPr>
                <w:sz w:val="24"/>
                <w:szCs w:val="24"/>
              </w:rPr>
              <w:t>urdering</w:t>
            </w:r>
            <w:r>
              <w:rPr>
                <w:sz w:val="24"/>
                <w:szCs w:val="24"/>
              </w:rPr>
              <w:t>s- og undervisningsformer skal være varierte.</w:t>
            </w:r>
            <w:r w:rsidRPr="001D0A84">
              <w:rPr>
                <w:sz w:val="24"/>
                <w:szCs w:val="24"/>
              </w:rPr>
              <w:t xml:space="preserve"> </w:t>
            </w:r>
            <w:r w:rsidRPr="001D0A84">
              <w:rPr>
                <w:sz w:val="24"/>
                <w:szCs w:val="24"/>
              </w:rPr>
              <w:tab/>
            </w:r>
            <w:r w:rsidRPr="001D0A84">
              <w:rPr>
                <w:sz w:val="24"/>
                <w:szCs w:val="24"/>
              </w:rPr>
              <w:tab/>
            </w:r>
          </w:p>
        </w:tc>
      </w:tr>
      <w:tr w:rsidR="00E11F4D" w:rsidRPr="001D0A84" w14:paraId="19AF7E46" w14:textId="77777777" w:rsidTr="00E11F4D">
        <w:tc>
          <w:tcPr>
            <w:tcW w:w="8926" w:type="dxa"/>
          </w:tcPr>
          <w:p w14:paraId="6738EE24" w14:textId="5F1E1741" w:rsidR="00E11F4D" w:rsidRDefault="00E11F4D" w:rsidP="00F2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 med særskilte behov skal kunne søke om a</w:t>
            </w:r>
            <w:r w:rsidRPr="001D0A84">
              <w:rPr>
                <w:sz w:val="24"/>
                <w:szCs w:val="24"/>
              </w:rPr>
              <w:t>lternative former for aktiviteter eller vurderinger</w:t>
            </w:r>
            <w:r>
              <w:rPr>
                <w:sz w:val="24"/>
                <w:szCs w:val="24"/>
              </w:rPr>
              <w:t>.</w:t>
            </w:r>
          </w:p>
          <w:p w14:paraId="18EA15D4" w14:textId="77777777" w:rsidR="00E11F4D" w:rsidRPr="001D0A84" w:rsidRDefault="00E11F4D" w:rsidP="00F20DE5">
            <w:pPr>
              <w:rPr>
                <w:sz w:val="24"/>
                <w:szCs w:val="24"/>
              </w:rPr>
            </w:pPr>
          </w:p>
        </w:tc>
      </w:tr>
      <w:tr w:rsidR="00E11F4D" w:rsidRPr="001D0A84" w14:paraId="0CA9B3A8" w14:textId="77777777" w:rsidTr="00E11F4D">
        <w:tc>
          <w:tcPr>
            <w:tcW w:w="8926" w:type="dxa"/>
          </w:tcPr>
          <w:p w14:paraId="261E40E1" w14:textId="0AA137B3" w:rsidR="00E11F4D" w:rsidRPr="001D0A84" w:rsidRDefault="00E11F4D" w:rsidP="00F2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D0A84">
              <w:rPr>
                <w:sz w:val="24"/>
                <w:szCs w:val="24"/>
              </w:rPr>
              <w:t xml:space="preserve">ensumliste </w:t>
            </w:r>
            <w:r>
              <w:rPr>
                <w:sz w:val="24"/>
                <w:szCs w:val="24"/>
              </w:rPr>
              <w:t xml:space="preserve">skal offentliggjøres </w:t>
            </w:r>
            <w:r w:rsidR="00042B55">
              <w:rPr>
                <w:sz w:val="24"/>
                <w:szCs w:val="24"/>
              </w:rPr>
              <w:t xml:space="preserve">og pensum være tilgjengelig </w:t>
            </w:r>
            <w:r>
              <w:rPr>
                <w:sz w:val="24"/>
                <w:szCs w:val="24"/>
              </w:rPr>
              <w:t>i god tid før studiestart</w:t>
            </w:r>
            <w:r w:rsidRPr="001D0A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dette er </w:t>
            </w:r>
            <w:r w:rsidRPr="001D0A84">
              <w:rPr>
                <w:sz w:val="24"/>
                <w:szCs w:val="24"/>
              </w:rPr>
              <w:t xml:space="preserve">særlig viktig for studenter som må søke om å få pensum som lydbok. </w:t>
            </w:r>
          </w:p>
        </w:tc>
      </w:tr>
      <w:tr w:rsidR="00E11F4D" w:rsidRPr="001D0A84" w14:paraId="1255B00D" w14:textId="77777777" w:rsidTr="00E11F4D">
        <w:tc>
          <w:tcPr>
            <w:tcW w:w="8926" w:type="dxa"/>
          </w:tcPr>
          <w:p w14:paraId="53507787" w14:textId="11AD5682" w:rsidR="00E11F4D" w:rsidRDefault="00E11F4D" w:rsidP="00F2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skal som hovedregel brukes m</w:t>
            </w:r>
            <w:r w:rsidRPr="001D0A84">
              <w:rPr>
                <w:sz w:val="24"/>
                <w:szCs w:val="24"/>
              </w:rPr>
              <w:t>ikrofon i undervisning</w:t>
            </w:r>
            <w:r>
              <w:rPr>
                <w:sz w:val="24"/>
                <w:szCs w:val="24"/>
              </w:rPr>
              <w:t xml:space="preserve"> </w:t>
            </w:r>
          </w:p>
          <w:p w14:paraId="510645EA" w14:textId="77777777" w:rsidR="00E11F4D" w:rsidRPr="001D0A84" w:rsidRDefault="00E11F4D" w:rsidP="00F20DE5">
            <w:pPr>
              <w:rPr>
                <w:sz w:val="24"/>
                <w:szCs w:val="24"/>
              </w:rPr>
            </w:pPr>
          </w:p>
        </w:tc>
      </w:tr>
    </w:tbl>
    <w:p w14:paraId="524DAB6A" w14:textId="77777777" w:rsidR="003A600E" w:rsidRPr="001D0A84" w:rsidRDefault="003A600E" w:rsidP="003A600E">
      <w:pPr>
        <w:rPr>
          <w:sz w:val="24"/>
          <w:szCs w:val="24"/>
        </w:rPr>
      </w:pPr>
    </w:p>
    <w:p w14:paraId="08B5F0A1" w14:textId="77777777" w:rsidR="00497643" w:rsidRPr="008D21F0" w:rsidRDefault="00497643" w:rsidP="00861C0A">
      <w:pPr>
        <w:rPr>
          <w:sz w:val="24"/>
          <w:szCs w:val="24"/>
        </w:rPr>
      </w:pPr>
    </w:p>
    <w:p w14:paraId="4F81937F" w14:textId="77777777" w:rsidR="00151A96" w:rsidRDefault="00151A96" w:rsidP="00A41CCB">
      <w:pPr>
        <w:rPr>
          <w:b/>
          <w:bCs/>
          <w:sz w:val="24"/>
          <w:szCs w:val="24"/>
        </w:rPr>
      </w:pPr>
    </w:p>
    <w:p w14:paraId="46DD1246" w14:textId="559EF7F6" w:rsidR="00861C0A" w:rsidRPr="007E24A1" w:rsidRDefault="003B6CF2" w:rsidP="00A41CCB">
      <w:pPr>
        <w:rPr>
          <w:b/>
          <w:bCs/>
          <w:sz w:val="24"/>
          <w:szCs w:val="24"/>
        </w:rPr>
      </w:pPr>
      <w:r w:rsidRPr="007E24A1">
        <w:rPr>
          <w:b/>
          <w:bCs/>
          <w:sz w:val="24"/>
          <w:szCs w:val="24"/>
        </w:rPr>
        <w:t xml:space="preserve">3.0 </w:t>
      </w:r>
      <w:r w:rsidR="008A08EF" w:rsidRPr="007E24A1">
        <w:rPr>
          <w:b/>
          <w:bCs/>
          <w:sz w:val="24"/>
          <w:szCs w:val="24"/>
        </w:rPr>
        <w:t xml:space="preserve">Lenker til lovverk </w:t>
      </w:r>
    </w:p>
    <w:p w14:paraId="44815C61" w14:textId="568766B3" w:rsidR="008A08EF" w:rsidRDefault="00AB1B9B" w:rsidP="00A41CCB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4" w:history="1">
        <w:r w:rsidR="008A08EF" w:rsidRPr="008A08EF">
          <w:rPr>
            <w:rStyle w:val="Hyperlink"/>
            <w:sz w:val="24"/>
            <w:szCs w:val="24"/>
          </w:rPr>
          <w:t>Lov om likestilling og forbud mot diskriminering (likestillings- og diskrimineringsloven)</w:t>
        </w:r>
      </w:hyperlink>
    </w:p>
    <w:p w14:paraId="3922F5AF" w14:textId="1C0CE0EC" w:rsidR="003B6CF2" w:rsidRDefault="00AB1B9B" w:rsidP="00A41CCB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5" w:history="1">
        <w:r w:rsidR="003B6CF2">
          <w:rPr>
            <w:rStyle w:val="Hyperlink"/>
            <w:sz w:val="24"/>
            <w:szCs w:val="24"/>
          </w:rPr>
          <w:t>Universitet</w:t>
        </w:r>
        <w:r w:rsidR="003B6CF2" w:rsidRPr="003B6CF2">
          <w:rPr>
            <w:rStyle w:val="Hyperlink"/>
            <w:sz w:val="24"/>
            <w:szCs w:val="24"/>
          </w:rPr>
          <w:t>s- og høyskoleloven</w:t>
        </w:r>
      </w:hyperlink>
      <w:r w:rsidR="003B6CF2" w:rsidRPr="003B6CF2">
        <w:rPr>
          <w:sz w:val="24"/>
          <w:szCs w:val="24"/>
        </w:rPr>
        <w:t xml:space="preserve">  </w:t>
      </w:r>
    </w:p>
    <w:p w14:paraId="5EC4E704" w14:textId="1E3BF8A5" w:rsidR="002A2A7E" w:rsidRPr="00EA752E" w:rsidRDefault="00AB1B9B" w:rsidP="003B6CF2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6" w:history="1">
        <w:r w:rsidR="003B6CF2" w:rsidRPr="00EA752E">
          <w:rPr>
            <w:rStyle w:val="Hyperlink"/>
            <w:sz w:val="24"/>
            <w:szCs w:val="24"/>
          </w:rPr>
          <w:t>Forskrift om opptak, studier og eksamen ved Høgskolen i Molde - Vitenskapelig høgskole i logistikk</w:t>
        </w:r>
      </w:hyperlink>
    </w:p>
    <w:p w14:paraId="7DBE9167" w14:textId="713CD744" w:rsidR="003B6CF2" w:rsidRPr="00EA752E" w:rsidRDefault="00AB1B9B" w:rsidP="003B6CF2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7" w:history="1">
        <w:r w:rsidR="00EA752E" w:rsidRPr="00EA752E">
          <w:rPr>
            <w:rStyle w:val="Hyperlink"/>
            <w:sz w:val="24"/>
            <w:szCs w:val="24"/>
          </w:rPr>
          <w:t>Gjeldende regelverk om universell utforming av IKT-løsninger</w:t>
        </w:r>
      </w:hyperlink>
    </w:p>
    <w:p w14:paraId="461B4204" w14:textId="16DE4B57" w:rsidR="00EA752E" w:rsidRPr="00EA752E" w:rsidRDefault="00AB1B9B" w:rsidP="003B6CF2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8" w:history="1">
        <w:r w:rsidR="00EA752E" w:rsidRPr="00EA752E">
          <w:rPr>
            <w:rStyle w:val="Hyperlink"/>
            <w:sz w:val="24"/>
            <w:szCs w:val="24"/>
          </w:rPr>
          <w:t>Universell utforming i plan- og bygningsloven</w:t>
        </w:r>
      </w:hyperlink>
    </w:p>
    <w:sectPr w:rsidR="00EA752E" w:rsidRPr="00EA752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CB49" w14:textId="77777777" w:rsidR="00232F1D" w:rsidRDefault="00232F1D" w:rsidP="00232F1D">
      <w:pPr>
        <w:spacing w:after="0" w:line="240" w:lineRule="auto"/>
      </w:pPr>
      <w:r>
        <w:separator/>
      </w:r>
    </w:p>
  </w:endnote>
  <w:endnote w:type="continuationSeparator" w:id="0">
    <w:p w14:paraId="11EBF98F" w14:textId="77777777" w:rsidR="00232F1D" w:rsidRDefault="00232F1D" w:rsidP="0023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241140"/>
      <w:docPartObj>
        <w:docPartGallery w:val="Page Numbers (Bottom of Page)"/>
        <w:docPartUnique/>
      </w:docPartObj>
    </w:sdtPr>
    <w:sdtEndPr/>
    <w:sdtContent>
      <w:p w14:paraId="176226D3" w14:textId="77777777" w:rsidR="00232F1D" w:rsidRDefault="00232F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89">
          <w:rPr>
            <w:noProof/>
          </w:rPr>
          <w:t>8</w:t>
        </w:r>
        <w:r>
          <w:fldChar w:fldCharType="end"/>
        </w:r>
      </w:p>
    </w:sdtContent>
  </w:sdt>
  <w:p w14:paraId="2B782AC5" w14:textId="77777777" w:rsidR="00232F1D" w:rsidRDefault="0023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EFCE" w14:textId="77777777" w:rsidR="00232F1D" w:rsidRDefault="00232F1D" w:rsidP="00232F1D">
      <w:pPr>
        <w:spacing w:after="0" w:line="240" w:lineRule="auto"/>
      </w:pPr>
      <w:r>
        <w:separator/>
      </w:r>
    </w:p>
  </w:footnote>
  <w:footnote w:type="continuationSeparator" w:id="0">
    <w:p w14:paraId="697F9DD9" w14:textId="77777777" w:rsidR="00232F1D" w:rsidRDefault="00232F1D" w:rsidP="0023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433"/>
    <w:multiLevelType w:val="hybridMultilevel"/>
    <w:tmpl w:val="16E6D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6AE"/>
    <w:multiLevelType w:val="hybridMultilevel"/>
    <w:tmpl w:val="1AF0F2D8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9CC363D"/>
    <w:multiLevelType w:val="hybridMultilevel"/>
    <w:tmpl w:val="17686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5B2"/>
    <w:multiLevelType w:val="hybridMultilevel"/>
    <w:tmpl w:val="37FAF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760A"/>
    <w:multiLevelType w:val="hybridMultilevel"/>
    <w:tmpl w:val="01B00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1BC3"/>
    <w:multiLevelType w:val="hybridMultilevel"/>
    <w:tmpl w:val="7B7CD058"/>
    <w:lvl w:ilvl="0" w:tplc="0414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93857756">
    <w:abstractNumId w:val="3"/>
  </w:num>
  <w:num w:numId="2" w16cid:durableId="607933330">
    <w:abstractNumId w:val="1"/>
  </w:num>
  <w:num w:numId="3" w16cid:durableId="318581044">
    <w:abstractNumId w:val="5"/>
  </w:num>
  <w:num w:numId="4" w16cid:durableId="727262800">
    <w:abstractNumId w:val="2"/>
  </w:num>
  <w:num w:numId="5" w16cid:durableId="1159542404">
    <w:abstractNumId w:val="4"/>
  </w:num>
  <w:num w:numId="6" w16cid:durableId="187080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8"/>
    <w:rsid w:val="00026728"/>
    <w:rsid w:val="000425EC"/>
    <w:rsid w:val="00042B55"/>
    <w:rsid w:val="001146C9"/>
    <w:rsid w:val="00151A96"/>
    <w:rsid w:val="001D2021"/>
    <w:rsid w:val="001E2F9E"/>
    <w:rsid w:val="00200448"/>
    <w:rsid w:val="00232F1D"/>
    <w:rsid w:val="002A2A7E"/>
    <w:rsid w:val="002A5D00"/>
    <w:rsid w:val="002D5F99"/>
    <w:rsid w:val="00314E34"/>
    <w:rsid w:val="003A600E"/>
    <w:rsid w:val="003B6CF2"/>
    <w:rsid w:val="003C7803"/>
    <w:rsid w:val="004322E9"/>
    <w:rsid w:val="00497643"/>
    <w:rsid w:val="004A7248"/>
    <w:rsid w:val="004D33F7"/>
    <w:rsid w:val="004E7157"/>
    <w:rsid w:val="0051310D"/>
    <w:rsid w:val="00521564"/>
    <w:rsid w:val="00537678"/>
    <w:rsid w:val="00550784"/>
    <w:rsid w:val="00583250"/>
    <w:rsid w:val="00592DBB"/>
    <w:rsid w:val="005950D5"/>
    <w:rsid w:val="005A2A48"/>
    <w:rsid w:val="005D7519"/>
    <w:rsid w:val="00605D89"/>
    <w:rsid w:val="006470CC"/>
    <w:rsid w:val="00656A88"/>
    <w:rsid w:val="00660B80"/>
    <w:rsid w:val="00663861"/>
    <w:rsid w:val="006F2176"/>
    <w:rsid w:val="007030C7"/>
    <w:rsid w:val="00706AC7"/>
    <w:rsid w:val="007836E8"/>
    <w:rsid w:val="00791463"/>
    <w:rsid w:val="007C016F"/>
    <w:rsid w:val="007E24A1"/>
    <w:rsid w:val="00824E65"/>
    <w:rsid w:val="00852D99"/>
    <w:rsid w:val="00853282"/>
    <w:rsid w:val="00861C0A"/>
    <w:rsid w:val="008A08EF"/>
    <w:rsid w:val="008C5B84"/>
    <w:rsid w:val="008D21F0"/>
    <w:rsid w:val="0096084A"/>
    <w:rsid w:val="0098112D"/>
    <w:rsid w:val="009860C0"/>
    <w:rsid w:val="009D652D"/>
    <w:rsid w:val="00A41CCB"/>
    <w:rsid w:val="00A574D0"/>
    <w:rsid w:val="00A6081C"/>
    <w:rsid w:val="00A73577"/>
    <w:rsid w:val="00AB1B9B"/>
    <w:rsid w:val="00AB1F0A"/>
    <w:rsid w:val="00AC4F78"/>
    <w:rsid w:val="00B70D40"/>
    <w:rsid w:val="00BF65B2"/>
    <w:rsid w:val="00C42162"/>
    <w:rsid w:val="00CC66D5"/>
    <w:rsid w:val="00CE302D"/>
    <w:rsid w:val="00D72C1C"/>
    <w:rsid w:val="00E11F4D"/>
    <w:rsid w:val="00E30E2E"/>
    <w:rsid w:val="00E36F38"/>
    <w:rsid w:val="00E7028E"/>
    <w:rsid w:val="00E83DE4"/>
    <w:rsid w:val="00EA662C"/>
    <w:rsid w:val="00EA752E"/>
    <w:rsid w:val="00ED1C03"/>
    <w:rsid w:val="00F07281"/>
    <w:rsid w:val="00F20DE5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EF8D"/>
  <w15:chartTrackingRefBased/>
  <w15:docId w15:val="{58D80E8D-3DCD-4181-BD17-2151DCE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77"/>
    <w:pPr>
      <w:ind w:left="720"/>
      <w:contextualSpacing/>
    </w:pPr>
  </w:style>
  <w:style w:type="paragraph" w:customStyle="1" w:styleId="Default">
    <w:name w:val="Default"/>
    <w:rsid w:val="00861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0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2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1D"/>
  </w:style>
  <w:style w:type="paragraph" w:styleId="Footer">
    <w:name w:val="footer"/>
    <w:basedOn w:val="Normal"/>
    <w:link w:val="FooterChar"/>
    <w:uiPriority w:val="99"/>
    <w:unhideWhenUsed/>
    <w:rsid w:val="0023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1D"/>
  </w:style>
  <w:style w:type="character" w:styleId="FollowedHyperlink">
    <w:name w:val="FollowedHyperlink"/>
    <w:basedOn w:val="DefaultParagraphFont"/>
    <w:uiPriority w:val="99"/>
    <w:semiHidden/>
    <w:unhideWhenUsed/>
    <w:rsid w:val="00BF65B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7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A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hyperlink" Target="https://dibk.no/saksbehandling/kommunalt-tilsyn/temaveiledninger/tilsyn-universell-utforming-bokmal/5.-universell-utforming-i-plan-/universell-utforming-i-plan--og-bygningsloven-med-forskrifte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uutilsynet.no/regelverk/offentlig-sektor/15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vdata.no/dokument/SF/forskrift/2015-05-07-5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lovdata.no/all/nl-20050401-015.html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lovdata.no/dokument/NL/lov/2017-06-16-51?q=likestilling%20og%20diskrimineri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4FBD6B-7270-43D0-8546-C8D1C46C58AC}" type="doc">
      <dgm:prSet loTypeId="urn:diagrams.loki3.com/VaryingWidthList" loCatId="officeonlin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AC779CF-5CFD-4B42-AF6D-02750CBB3503}">
      <dgm:prSet phldrT="[Text]" custT="1"/>
      <dgm:spPr/>
      <dgm:t>
        <a:bodyPr/>
        <a:lstStyle/>
        <a:p>
          <a:r>
            <a:rPr lang="en-US" sz="1200"/>
            <a:t> Fysisk læringsmiljø: Bygninger og omgivelser</a:t>
          </a:r>
        </a:p>
      </dgm:t>
    </dgm:pt>
    <dgm:pt modelId="{1F404A13-33D0-42FD-9F3E-BE27F99D4E0F}" type="parTrans" cxnId="{F54A0156-4BE3-4CCA-B8DB-3AD2681BB7F1}">
      <dgm:prSet/>
      <dgm:spPr/>
      <dgm:t>
        <a:bodyPr/>
        <a:lstStyle/>
        <a:p>
          <a:endParaRPr lang="en-US"/>
        </a:p>
      </dgm:t>
    </dgm:pt>
    <dgm:pt modelId="{5795DA82-60E5-4D72-BE26-CDDCE3D66AAC}" type="sibTrans" cxnId="{F54A0156-4BE3-4CCA-B8DB-3AD2681BB7F1}">
      <dgm:prSet/>
      <dgm:spPr/>
      <dgm:t>
        <a:bodyPr/>
        <a:lstStyle/>
        <a:p>
          <a:endParaRPr lang="en-US"/>
        </a:p>
      </dgm:t>
    </dgm:pt>
    <dgm:pt modelId="{D3AE2F90-14D7-4D86-80B6-35EA26B61532}">
      <dgm:prSet custT="1"/>
      <dgm:spPr/>
      <dgm:t>
        <a:bodyPr/>
        <a:lstStyle/>
        <a:p>
          <a:r>
            <a:rPr lang="en-US" sz="1200"/>
            <a:t>Organisatorisk læringsmiljø: Kvalitetssystemer og andre systemer for tilbakemelding og medvirkning </a:t>
          </a:r>
        </a:p>
      </dgm:t>
    </dgm:pt>
    <dgm:pt modelId="{0BA39288-AAB2-42C4-8836-59D5A944FFD8}" type="parTrans" cxnId="{1AAC7873-A5D2-4CD9-BB6C-037AEBAD565E}">
      <dgm:prSet/>
      <dgm:spPr/>
      <dgm:t>
        <a:bodyPr/>
        <a:lstStyle/>
        <a:p>
          <a:endParaRPr lang="en-US"/>
        </a:p>
      </dgm:t>
    </dgm:pt>
    <dgm:pt modelId="{FC286428-4F42-497B-BB91-D596C12AC287}" type="sibTrans" cxnId="{1AAC7873-A5D2-4CD9-BB6C-037AEBAD565E}">
      <dgm:prSet/>
      <dgm:spPr/>
      <dgm:t>
        <a:bodyPr/>
        <a:lstStyle/>
        <a:p>
          <a:endParaRPr lang="en-US"/>
        </a:p>
      </dgm:t>
    </dgm:pt>
    <dgm:pt modelId="{3433CCC8-DAB7-43EB-9045-C6502701067D}">
      <dgm:prSet custT="1"/>
      <dgm:spPr/>
      <dgm:t>
        <a:bodyPr/>
        <a:lstStyle/>
        <a:p>
          <a:r>
            <a:rPr lang="en-US" sz="1400"/>
            <a:t> </a:t>
          </a:r>
          <a:r>
            <a:rPr lang="en-US" sz="1200"/>
            <a:t>Digitalt læringsmiljø: Grensegangen mellom læringsprosesser, pedagogikk og teknologi </a:t>
          </a:r>
        </a:p>
      </dgm:t>
    </dgm:pt>
    <dgm:pt modelId="{0157B5DE-ABE2-4471-933D-D371D015ED78}" type="parTrans" cxnId="{B3702E7D-2A3C-4A74-BB63-1EBCE1FE776A}">
      <dgm:prSet/>
      <dgm:spPr/>
      <dgm:t>
        <a:bodyPr/>
        <a:lstStyle/>
        <a:p>
          <a:endParaRPr lang="en-US"/>
        </a:p>
      </dgm:t>
    </dgm:pt>
    <dgm:pt modelId="{7A93D737-1669-481F-9260-5B2D4C9F4B37}" type="sibTrans" cxnId="{B3702E7D-2A3C-4A74-BB63-1EBCE1FE776A}">
      <dgm:prSet/>
      <dgm:spPr/>
      <dgm:t>
        <a:bodyPr/>
        <a:lstStyle/>
        <a:p>
          <a:endParaRPr lang="en-US"/>
        </a:p>
      </dgm:t>
    </dgm:pt>
    <dgm:pt modelId="{993C5AB7-197D-46CE-BB2F-6250AE2E6D64}">
      <dgm:prSet custT="1"/>
      <dgm:spPr/>
      <dgm:t>
        <a:bodyPr/>
        <a:lstStyle/>
        <a:p>
          <a:r>
            <a:rPr lang="en-US" sz="1400"/>
            <a:t> </a:t>
          </a:r>
          <a:r>
            <a:rPr lang="en-US" sz="1200"/>
            <a:t>Pedagogisk læringsmiljø: Form, innhold og rammer for den pedagogiske aktiviteten som påvirker studentenes læring. </a:t>
          </a:r>
        </a:p>
      </dgm:t>
    </dgm:pt>
    <dgm:pt modelId="{9A8886C3-1047-4BD3-A220-66438DA9BB38}" type="parTrans" cxnId="{910BA0BB-1942-4684-9137-1EA5E8F960BA}">
      <dgm:prSet/>
      <dgm:spPr/>
      <dgm:t>
        <a:bodyPr/>
        <a:lstStyle/>
        <a:p>
          <a:endParaRPr lang="en-US"/>
        </a:p>
      </dgm:t>
    </dgm:pt>
    <dgm:pt modelId="{EB3549FB-1B88-4F54-9D61-692BB87B6E92}" type="sibTrans" cxnId="{910BA0BB-1942-4684-9137-1EA5E8F960BA}">
      <dgm:prSet/>
      <dgm:spPr/>
      <dgm:t>
        <a:bodyPr/>
        <a:lstStyle/>
        <a:p>
          <a:endParaRPr lang="en-US"/>
        </a:p>
      </dgm:t>
    </dgm:pt>
    <dgm:pt modelId="{BA9AFE84-3595-4BE0-98FE-6C4C1B932417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US" sz="1200"/>
            <a:t>Psykososialt læringsmiljø: De mellommenneskelige forhold, trivsel og samhandling </a:t>
          </a:r>
        </a:p>
      </dgm:t>
    </dgm:pt>
    <dgm:pt modelId="{5944EBB1-7168-4A5C-89B8-D607A1D951B3}" type="parTrans" cxnId="{96CDCDC3-7D05-4D99-AEAF-16A9A150BD8B}">
      <dgm:prSet/>
      <dgm:spPr/>
      <dgm:t>
        <a:bodyPr/>
        <a:lstStyle/>
        <a:p>
          <a:endParaRPr lang="en-US"/>
        </a:p>
      </dgm:t>
    </dgm:pt>
    <dgm:pt modelId="{04020EC1-6515-448E-8C07-48BD2E8CFFE7}" type="sibTrans" cxnId="{96CDCDC3-7D05-4D99-AEAF-16A9A150BD8B}">
      <dgm:prSet/>
      <dgm:spPr/>
      <dgm:t>
        <a:bodyPr/>
        <a:lstStyle/>
        <a:p>
          <a:endParaRPr lang="en-US"/>
        </a:p>
      </dgm:t>
    </dgm:pt>
    <dgm:pt modelId="{1E4A22D4-44AE-49C1-B9C6-E055364FD960}" type="pres">
      <dgm:prSet presAssocID="{804FBD6B-7270-43D0-8546-C8D1C46C58AC}" presName="Name0" presStyleCnt="0">
        <dgm:presLayoutVars>
          <dgm:resizeHandles/>
        </dgm:presLayoutVars>
      </dgm:prSet>
      <dgm:spPr/>
    </dgm:pt>
    <dgm:pt modelId="{93970A48-DDDA-4F84-B65F-D30208BCD545}" type="pres">
      <dgm:prSet presAssocID="{3AC779CF-5CFD-4B42-AF6D-02750CBB3503}" presName="text" presStyleLbl="node1" presStyleIdx="0" presStyleCnt="5" custScaleX="349624">
        <dgm:presLayoutVars>
          <dgm:bulletEnabled val="1"/>
        </dgm:presLayoutVars>
      </dgm:prSet>
      <dgm:spPr/>
    </dgm:pt>
    <dgm:pt modelId="{6134B369-D1C2-473D-8AB9-DDC746716509}" type="pres">
      <dgm:prSet presAssocID="{5795DA82-60E5-4D72-BE26-CDDCE3D66AAC}" presName="space" presStyleCnt="0"/>
      <dgm:spPr/>
    </dgm:pt>
    <dgm:pt modelId="{46999DB3-3AA3-498D-93E7-0261A47491EF}" type="pres">
      <dgm:prSet presAssocID="{BA9AFE84-3595-4BE0-98FE-6C4C1B932417}" presName="text" presStyleLbl="node1" presStyleIdx="1" presStyleCnt="5" custScaleX="105490">
        <dgm:presLayoutVars>
          <dgm:bulletEnabled val="1"/>
        </dgm:presLayoutVars>
      </dgm:prSet>
      <dgm:spPr/>
    </dgm:pt>
    <dgm:pt modelId="{9FAD6470-9F34-4DBB-BDFE-3B3AC1B6F972}" type="pres">
      <dgm:prSet presAssocID="{04020EC1-6515-448E-8C07-48BD2E8CFFE7}" presName="space" presStyleCnt="0"/>
      <dgm:spPr/>
    </dgm:pt>
    <dgm:pt modelId="{7D2725FF-985A-46A0-86E5-90D3838E5063}" type="pres">
      <dgm:prSet presAssocID="{D3AE2F90-14D7-4D86-80B6-35EA26B61532}" presName="text" presStyleLbl="node1" presStyleIdx="2" presStyleCnt="5" custScaleX="174812" custLinFactNeighborX="-5229" custLinFactNeighborY="31100">
        <dgm:presLayoutVars>
          <dgm:bulletEnabled val="1"/>
        </dgm:presLayoutVars>
      </dgm:prSet>
      <dgm:spPr/>
    </dgm:pt>
    <dgm:pt modelId="{BD36AE5F-D546-4AA7-BE89-70EED6A50F9F}" type="pres">
      <dgm:prSet presAssocID="{FC286428-4F42-497B-BB91-D596C12AC287}" presName="space" presStyleCnt="0"/>
      <dgm:spPr/>
    </dgm:pt>
    <dgm:pt modelId="{5486E058-3751-4EC3-9893-37C8C9DF0C25}" type="pres">
      <dgm:prSet presAssocID="{3433CCC8-DAB7-43EB-9045-C6502701067D}" presName="text" presStyleLbl="node1" presStyleIdx="3" presStyleCnt="5" custScaleX="179293">
        <dgm:presLayoutVars>
          <dgm:bulletEnabled val="1"/>
        </dgm:presLayoutVars>
      </dgm:prSet>
      <dgm:spPr/>
    </dgm:pt>
    <dgm:pt modelId="{99D90B66-7E0E-4D7E-B62F-18AE464AF898}" type="pres">
      <dgm:prSet presAssocID="{7A93D737-1669-481F-9260-5B2D4C9F4B37}" presName="space" presStyleCnt="0"/>
      <dgm:spPr/>
    </dgm:pt>
    <dgm:pt modelId="{7A6B34A3-23ED-49E2-AE36-505CA85089B7}" type="pres">
      <dgm:prSet presAssocID="{993C5AB7-197D-46CE-BB2F-6250AE2E6D64}" presName="text" presStyleLbl="node1" presStyleIdx="4" presStyleCnt="5" custScaleX="138992">
        <dgm:presLayoutVars>
          <dgm:bulletEnabled val="1"/>
        </dgm:presLayoutVars>
      </dgm:prSet>
      <dgm:spPr/>
    </dgm:pt>
  </dgm:ptLst>
  <dgm:cxnLst>
    <dgm:cxn modelId="{294C1B0E-CA0B-4771-975E-BE52E29462EC}" type="presOf" srcId="{D3AE2F90-14D7-4D86-80B6-35EA26B61532}" destId="{7D2725FF-985A-46A0-86E5-90D3838E5063}" srcOrd="0" destOrd="0" presId="urn:diagrams.loki3.com/VaryingWidthList"/>
    <dgm:cxn modelId="{87953729-7928-4C38-92B2-84F10AB2943F}" type="presOf" srcId="{3433CCC8-DAB7-43EB-9045-C6502701067D}" destId="{5486E058-3751-4EC3-9893-37C8C9DF0C25}" srcOrd="0" destOrd="0" presId="urn:diagrams.loki3.com/VaryingWidthList"/>
    <dgm:cxn modelId="{1F3C9750-773A-4DD3-89C8-3950C93C0C7C}" type="presOf" srcId="{3AC779CF-5CFD-4B42-AF6D-02750CBB3503}" destId="{93970A48-DDDA-4F84-B65F-D30208BCD545}" srcOrd="0" destOrd="0" presId="urn:diagrams.loki3.com/VaryingWidthList"/>
    <dgm:cxn modelId="{1AAC7873-A5D2-4CD9-BB6C-037AEBAD565E}" srcId="{804FBD6B-7270-43D0-8546-C8D1C46C58AC}" destId="{D3AE2F90-14D7-4D86-80B6-35EA26B61532}" srcOrd="2" destOrd="0" parTransId="{0BA39288-AAB2-42C4-8836-59D5A944FFD8}" sibTransId="{FC286428-4F42-497B-BB91-D596C12AC287}"/>
    <dgm:cxn modelId="{F54A0156-4BE3-4CCA-B8DB-3AD2681BB7F1}" srcId="{804FBD6B-7270-43D0-8546-C8D1C46C58AC}" destId="{3AC779CF-5CFD-4B42-AF6D-02750CBB3503}" srcOrd="0" destOrd="0" parTransId="{1F404A13-33D0-42FD-9F3E-BE27F99D4E0F}" sibTransId="{5795DA82-60E5-4D72-BE26-CDDCE3D66AAC}"/>
    <dgm:cxn modelId="{B3702E7D-2A3C-4A74-BB63-1EBCE1FE776A}" srcId="{804FBD6B-7270-43D0-8546-C8D1C46C58AC}" destId="{3433CCC8-DAB7-43EB-9045-C6502701067D}" srcOrd="3" destOrd="0" parTransId="{0157B5DE-ABE2-4471-933D-D371D015ED78}" sibTransId="{7A93D737-1669-481F-9260-5B2D4C9F4B37}"/>
    <dgm:cxn modelId="{F044038B-8DA1-4E6A-AD5F-E4CFAD0C99A3}" type="presOf" srcId="{BA9AFE84-3595-4BE0-98FE-6C4C1B932417}" destId="{46999DB3-3AA3-498D-93E7-0261A47491EF}" srcOrd="0" destOrd="0" presId="urn:diagrams.loki3.com/VaryingWidthList"/>
    <dgm:cxn modelId="{910BA0BB-1942-4684-9137-1EA5E8F960BA}" srcId="{804FBD6B-7270-43D0-8546-C8D1C46C58AC}" destId="{993C5AB7-197D-46CE-BB2F-6250AE2E6D64}" srcOrd="4" destOrd="0" parTransId="{9A8886C3-1047-4BD3-A220-66438DA9BB38}" sibTransId="{EB3549FB-1B88-4F54-9D61-692BB87B6E92}"/>
    <dgm:cxn modelId="{96CDCDC3-7D05-4D99-AEAF-16A9A150BD8B}" srcId="{804FBD6B-7270-43D0-8546-C8D1C46C58AC}" destId="{BA9AFE84-3595-4BE0-98FE-6C4C1B932417}" srcOrd="1" destOrd="0" parTransId="{5944EBB1-7168-4A5C-89B8-D607A1D951B3}" sibTransId="{04020EC1-6515-448E-8C07-48BD2E8CFFE7}"/>
    <dgm:cxn modelId="{9081D8D4-1DC8-48B5-9811-1BD7D27D8F37}" type="presOf" srcId="{804FBD6B-7270-43D0-8546-C8D1C46C58AC}" destId="{1E4A22D4-44AE-49C1-B9C6-E055364FD960}" srcOrd="0" destOrd="0" presId="urn:diagrams.loki3.com/VaryingWidthList"/>
    <dgm:cxn modelId="{33694DFB-01FA-4DE1-997A-C639E4D2F22A}" type="presOf" srcId="{993C5AB7-197D-46CE-BB2F-6250AE2E6D64}" destId="{7A6B34A3-23ED-49E2-AE36-505CA85089B7}" srcOrd="0" destOrd="0" presId="urn:diagrams.loki3.com/VaryingWidthList"/>
    <dgm:cxn modelId="{667BE818-0CC3-4057-B756-76D2FB402442}" type="presParOf" srcId="{1E4A22D4-44AE-49C1-B9C6-E055364FD960}" destId="{93970A48-DDDA-4F84-B65F-D30208BCD545}" srcOrd="0" destOrd="0" presId="urn:diagrams.loki3.com/VaryingWidthList"/>
    <dgm:cxn modelId="{6666DE74-50AF-440E-B683-19C45502D252}" type="presParOf" srcId="{1E4A22D4-44AE-49C1-B9C6-E055364FD960}" destId="{6134B369-D1C2-473D-8AB9-DDC746716509}" srcOrd="1" destOrd="0" presId="urn:diagrams.loki3.com/VaryingWidthList"/>
    <dgm:cxn modelId="{260D014A-CD61-417F-A9A6-DD1329F9654A}" type="presParOf" srcId="{1E4A22D4-44AE-49C1-B9C6-E055364FD960}" destId="{46999DB3-3AA3-498D-93E7-0261A47491EF}" srcOrd="2" destOrd="0" presId="urn:diagrams.loki3.com/VaryingWidthList"/>
    <dgm:cxn modelId="{1DBF99B3-082F-4229-885A-5EDD9063D2E6}" type="presParOf" srcId="{1E4A22D4-44AE-49C1-B9C6-E055364FD960}" destId="{9FAD6470-9F34-4DBB-BDFE-3B3AC1B6F972}" srcOrd="3" destOrd="0" presId="urn:diagrams.loki3.com/VaryingWidthList"/>
    <dgm:cxn modelId="{EF06E951-0B07-49CB-8E58-7F6253EFF9AB}" type="presParOf" srcId="{1E4A22D4-44AE-49C1-B9C6-E055364FD960}" destId="{7D2725FF-985A-46A0-86E5-90D3838E5063}" srcOrd="4" destOrd="0" presId="urn:diagrams.loki3.com/VaryingWidthList"/>
    <dgm:cxn modelId="{0201DABC-56F8-448D-8F3F-3D3A71126825}" type="presParOf" srcId="{1E4A22D4-44AE-49C1-B9C6-E055364FD960}" destId="{BD36AE5F-D546-4AA7-BE89-70EED6A50F9F}" srcOrd="5" destOrd="0" presId="urn:diagrams.loki3.com/VaryingWidthList"/>
    <dgm:cxn modelId="{172F02FC-7D20-41C6-B3C8-7F1FE91F8851}" type="presParOf" srcId="{1E4A22D4-44AE-49C1-B9C6-E055364FD960}" destId="{5486E058-3751-4EC3-9893-37C8C9DF0C25}" srcOrd="6" destOrd="0" presId="urn:diagrams.loki3.com/VaryingWidthList"/>
    <dgm:cxn modelId="{4C1C169C-FCC7-43DA-80E7-F9CAD9E857B5}" type="presParOf" srcId="{1E4A22D4-44AE-49C1-B9C6-E055364FD960}" destId="{99D90B66-7E0E-4D7E-B62F-18AE464AF898}" srcOrd="7" destOrd="0" presId="urn:diagrams.loki3.com/VaryingWidthList"/>
    <dgm:cxn modelId="{3EE507A3-37CF-48D6-B167-93D5B3F1E611}" type="presParOf" srcId="{1E4A22D4-44AE-49C1-B9C6-E055364FD960}" destId="{7A6B34A3-23ED-49E2-AE36-505CA85089B7}" srcOrd="8" destOrd="0" presId="urn:diagrams.loki3.com/VaryingWidth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970A48-DDDA-4F84-B65F-D30208BCD545}">
      <dsp:nvSpPr>
        <dsp:cNvPr id="0" name=""/>
        <dsp:cNvSpPr/>
      </dsp:nvSpPr>
      <dsp:spPr>
        <a:xfrm>
          <a:off x="0" y="2088"/>
          <a:ext cx="5506571" cy="4323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Fysisk læringsmiljø: Bygninger og omgivelser</a:t>
          </a:r>
        </a:p>
      </dsp:txBody>
      <dsp:txXfrm>
        <a:off x="0" y="2088"/>
        <a:ext cx="5506571" cy="432347"/>
      </dsp:txXfrm>
    </dsp:sp>
    <dsp:sp modelId="{46999DB3-3AA3-498D-93E7-0261A47491EF}">
      <dsp:nvSpPr>
        <dsp:cNvPr id="0" name=""/>
        <dsp:cNvSpPr/>
      </dsp:nvSpPr>
      <dsp:spPr>
        <a:xfrm>
          <a:off x="0" y="456053"/>
          <a:ext cx="5506571" cy="4323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 </a:t>
          </a:r>
          <a:r>
            <a:rPr lang="en-US" sz="1200" kern="1200"/>
            <a:t>Psykososialt læringsmiljø: De mellommenneskelige forhold, trivsel og samhandling </a:t>
          </a:r>
        </a:p>
      </dsp:txBody>
      <dsp:txXfrm>
        <a:off x="0" y="456053"/>
        <a:ext cx="5506571" cy="432347"/>
      </dsp:txXfrm>
    </dsp:sp>
    <dsp:sp modelId="{7D2725FF-985A-46A0-86E5-90D3838E5063}">
      <dsp:nvSpPr>
        <dsp:cNvPr id="0" name=""/>
        <dsp:cNvSpPr/>
      </dsp:nvSpPr>
      <dsp:spPr>
        <a:xfrm>
          <a:off x="0" y="916740"/>
          <a:ext cx="5506571" cy="4323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Organisatorisk læringsmiljø: Kvalitetssystemer og andre systemer for tilbakemelding og medvirkning </a:t>
          </a:r>
        </a:p>
      </dsp:txBody>
      <dsp:txXfrm>
        <a:off x="0" y="916740"/>
        <a:ext cx="5506571" cy="432347"/>
      </dsp:txXfrm>
    </dsp:sp>
    <dsp:sp modelId="{5486E058-3751-4EC3-9893-37C8C9DF0C25}">
      <dsp:nvSpPr>
        <dsp:cNvPr id="0" name=""/>
        <dsp:cNvSpPr/>
      </dsp:nvSpPr>
      <dsp:spPr>
        <a:xfrm>
          <a:off x="0" y="1363981"/>
          <a:ext cx="5506571" cy="4323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 </a:t>
          </a:r>
          <a:r>
            <a:rPr lang="en-US" sz="1200" kern="1200"/>
            <a:t>Digitalt læringsmiljø: Grensegangen mellom læringsprosesser, pedagogikk og teknologi </a:t>
          </a:r>
        </a:p>
      </dsp:txBody>
      <dsp:txXfrm>
        <a:off x="0" y="1363981"/>
        <a:ext cx="5506571" cy="432347"/>
      </dsp:txXfrm>
    </dsp:sp>
    <dsp:sp modelId="{7A6B34A3-23ED-49E2-AE36-505CA85089B7}">
      <dsp:nvSpPr>
        <dsp:cNvPr id="0" name=""/>
        <dsp:cNvSpPr/>
      </dsp:nvSpPr>
      <dsp:spPr>
        <a:xfrm>
          <a:off x="0" y="1817946"/>
          <a:ext cx="5506571" cy="4323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 </a:t>
          </a:r>
          <a:r>
            <a:rPr lang="en-US" sz="1200" kern="1200"/>
            <a:t>Pedagogisk læringsmiljø: Form, innhold og rammer for den pedagogiske aktiviteten som påvirker studentenes læring. </a:t>
          </a:r>
        </a:p>
      </dsp:txBody>
      <dsp:txXfrm>
        <a:off x="0" y="1817946"/>
        <a:ext cx="5506571" cy="432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1299-DA03-46C8-AF9A-495473E7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1165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Håre Lena</dc:creator>
  <cp:keywords/>
  <dc:description/>
  <cp:lastModifiedBy>Håre Lena</cp:lastModifiedBy>
  <cp:revision>14</cp:revision>
  <cp:lastPrinted>2023-02-02T15:28:00Z</cp:lastPrinted>
  <dcterms:created xsi:type="dcterms:W3CDTF">2023-02-02T12:24:00Z</dcterms:created>
  <dcterms:modified xsi:type="dcterms:W3CDTF">2023-02-07T14:54:00Z</dcterms:modified>
</cp:coreProperties>
</file>